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C88" w:rsidRDefault="009A5C88">
      <w:pPr>
        <w:pStyle w:val="Title"/>
      </w:pPr>
    </w:p>
    <w:p w:rsidR="009A5C88" w:rsidRDefault="009A5C88">
      <w:pPr>
        <w:pStyle w:val="Subtitle"/>
      </w:pPr>
    </w:p>
    <w:p w:rsidR="009A5C88" w:rsidRDefault="009A5C88">
      <w:pPr>
        <w:pStyle w:val="BodyText"/>
      </w:pPr>
    </w:p>
    <w:p w:rsidR="009A5C88" w:rsidRDefault="009A5C88">
      <w:pPr>
        <w:pStyle w:val="BodyText"/>
      </w:pPr>
    </w:p>
    <w:p w:rsidR="009A5C88" w:rsidRDefault="009A5C88">
      <w:pPr>
        <w:pStyle w:val="Subtitle"/>
        <w:rPr>
          <w:rFonts w:cs="Times New Roman"/>
        </w:rPr>
      </w:pPr>
    </w:p>
    <w:p w:rsidR="009A5C88" w:rsidRDefault="00227E23">
      <w:pPr>
        <w:ind w:firstLine="0"/>
        <w:jc w:val="center"/>
        <w:rPr>
          <w:rFonts w:cs="Times New Roman"/>
        </w:rPr>
      </w:pPr>
      <w:r>
        <w:rPr>
          <w:rFonts w:cs="Times New Roman"/>
        </w:rPr>
        <w:t>Space Age Furniture</w:t>
      </w:r>
    </w:p>
    <w:p w:rsidR="009A5C88" w:rsidRDefault="00227E23">
      <w:pPr>
        <w:ind w:firstLine="0"/>
        <w:jc w:val="center"/>
      </w:pPr>
      <w:r>
        <w:rPr>
          <w:rFonts w:cs="Times New Roman"/>
        </w:rPr>
        <w:t>Alexander Rodgers</w:t>
      </w:r>
    </w:p>
    <w:p w:rsidR="009A5C88" w:rsidRDefault="00E939E2">
      <w:pPr>
        <w:ind w:firstLine="0"/>
        <w:jc w:val="center"/>
        <w:rPr>
          <w:color w:val="000000"/>
        </w:rPr>
      </w:pPr>
      <w:hyperlink r:id="rId7" w:history="1">
        <w:r w:rsidR="00227E23">
          <w:rPr>
            <w:rStyle w:val="Hyperlink"/>
            <w:rFonts w:cs="Times New Roman"/>
            <w:color w:val="000000"/>
            <w:u w:val="none"/>
          </w:rPr>
          <w:t xml:space="preserve">BUS644: Operations Management </w:t>
        </w:r>
      </w:hyperlink>
    </w:p>
    <w:p w:rsidR="009A5C88" w:rsidRDefault="00227E23">
      <w:pPr>
        <w:ind w:firstLine="0"/>
        <w:jc w:val="center"/>
        <w:rPr>
          <w:color w:val="000000"/>
        </w:rPr>
      </w:pPr>
      <w:r>
        <w:rPr>
          <w:color w:val="000000"/>
        </w:rPr>
        <w:t>Dr. Ray Powers</w:t>
      </w:r>
    </w:p>
    <w:p w:rsidR="009A5C88" w:rsidRDefault="00227E23">
      <w:pPr>
        <w:ind w:firstLine="0"/>
        <w:jc w:val="center"/>
        <w:rPr>
          <w:rFonts w:cs="Times New Roman"/>
        </w:rPr>
        <w:sectPr w:rsidR="009A5C88">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600" w:charSpace="32768"/>
        </w:sectPr>
      </w:pPr>
      <w:r>
        <w:rPr>
          <w:color w:val="000000"/>
        </w:rPr>
        <w:t>05/30/2018</w:t>
      </w:r>
    </w:p>
    <w:p w:rsidR="009A5C88" w:rsidRDefault="00227E23">
      <w:pPr>
        <w:ind w:firstLine="0"/>
        <w:jc w:val="center"/>
      </w:pPr>
      <w:r>
        <w:rPr>
          <w:rFonts w:cs="Times New Roman"/>
        </w:rPr>
        <w:t>Space Age Furniture</w:t>
      </w:r>
    </w:p>
    <w:p w:rsidR="009A5C88" w:rsidRDefault="00227E23">
      <w:r>
        <w:t xml:space="preserve">Materials Requirement Planning (MRP) helps organizations in creating smooth running assembling forms. MRP empowers firms to give the most extreme yield, and decreased stock while fulfilling the necessities of clients and request satisfaction </w:t>
      </w:r>
      <w:r>
        <w:rPr>
          <w:rStyle w:val="Hyperlink"/>
          <w:rFonts w:cs="Times New Roman"/>
          <w:color w:val="000000"/>
          <w:szCs w:val="20"/>
          <w:u w:val="none"/>
        </w:rPr>
        <w:t>(Vonderembse, &amp; White, 2013)</w:t>
      </w:r>
      <w:r>
        <w:t xml:space="preserve">. MRP frameworks help in keeping away from bottlenecks, bullwhip impacts, by guaranteeing the materials required for creation are set up. Consequently, no division will miss material prompting either a labor wastefulness underway, or an earnest need to accelerate or "whip" creation to satisfy arranges because of an absence of accessible materials. Task chiefs accountable for MRP arranging expect generation prerequisites and devise approaches to enhance overhead costs, stock expenses and figure new MRP necessities in like manner. In the accompanying contextual investigation of the Space Age Furniture Company proposals for MRP change will be made, the essential method of activity will be resolved, another MRP will be computed, exchange offs amongst extra time and stock expenses will be surveyed, and enhancements over sub-congregations in parcel sizes of 1,000 will be recommended. Tasks administration MRP adjustments will be connected to the Space Age Furniture Company to guarantee the assembling firm remains side by side of creation status, and changes are influenced they to profit both the organization and the client </w:t>
      </w:r>
      <w:r>
        <w:rPr>
          <w:rStyle w:val="Hyperlink"/>
          <w:rFonts w:cs="Times New Roman"/>
          <w:color w:val="000000"/>
          <w:szCs w:val="20"/>
          <w:u w:val="none"/>
        </w:rPr>
        <w:t>(Vonderembse, &amp; White, 2013)</w:t>
      </w:r>
      <w:r>
        <w:t xml:space="preserve">. </w:t>
      </w:r>
    </w:p>
    <w:p w:rsidR="009A5C88" w:rsidRDefault="00227E23">
      <w:r>
        <w:t xml:space="preserve">The given company Space Age Furniture is in the business of making tables and the stands to place microwaves and other items like TV etc. These items are made according to the product for which it is used, It may differ in size and color and design but the basic production process for each of it is similar. Section 3079 deals with the Saturn Microwave and Gemini TV and both of these need an extraordinary machining. Now, the company uses MRP to reduce their time cost and stock cost. Now, they know that $1.25 is needed to store Aver Gemini each week and on the other side, $1,50 is needed to store Saturn because these are not dispatched right after clearance form Section 3079. The numbers of this item in sub-assembly are, no. 435 for the TV Sand Gemini and no. 257 for the Microwave stand Saturn. When the item is out of section 3079, they are dispatched later. The company can produce as many units as they want from 3079 because it is not used in any other process. Space Age wants to create these at the size of 1000 now and the strategy has to deal with it </w:t>
      </w:r>
      <w:r>
        <w:rPr>
          <w:rStyle w:val="Hyperlink"/>
          <w:rFonts w:cs="Times New Roman"/>
          <w:color w:val="000000"/>
          <w:szCs w:val="20"/>
          <w:u w:val="none"/>
        </w:rPr>
        <w:t>(Vonderembse, &amp; White, 2013)</w:t>
      </w:r>
      <w:r>
        <w:t>.</w:t>
      </w:r>
    </w:p>
    <w:p w:rsidR="009A5C88" w:rsidRDefault="00227E23">
      <w:r>
        <w:t xml:space="preserve">My assignment deals with building an MRP for the given company and using the given information, we have to present a case of production of 1000 parcel sizes. In section 3079, 1000 parcel size is not easy </w:t>
      </w:r>
      <w:r>
        <w:rPr>
          <w:rStyle w:val="Hyperlink"/>
          <w:rFonts w:cs="Times New Roman"/>
          <w:color w:val="000000"/>
          <w:szCs w:val="20"/>
          <w:u w:val="none"/>
        </w:rPr>
        <w:t>(Vonderembse, &amp; White, 2013)</w:t>
      </w:r>
      <w:r>
        <w:t xml:space="preserve">. This paper will also suggest changes in the sub-congregations of 1000 size and the relation of expenses and cost. Also, the methods of activity for creating and handling the products will be explained in it. </w:t>
      </w:r>
    </w:p>
    <w:p w:rsidR="009A5C88" w:rsidRDefault="00227E23">
      <w:r>
        <w:t xml:space="preserve">The Space Age Furniture Company has one generation get together that produces tables and cupboards with different capacities in different sizes that go about as amusement focuses or hold family unit apparatuses. The greater part of the items require similar parts aside from the given two options, one is Saturn microwave and the other is Gemini TV stand and both of these need different machines and sections. Ed is the mechanical engineer who needs to take care of this operation in this company. Only he can work with the machines and section 3079. To stay aware of generation necessities for the Saturn and Gemini items, Ed, a profoundly gifted and 'uncommon discover' engineer, needs to work extra time, a suggestion he is not upbeat about. This paper will make an MRP for the company using the case and the on portion provided in it to prepare a parcel of 1000 units. Bow, this 1000 parcel size concerns the section 3079 </w:t>
      </w:r>
      <w:r>
        <w:rPr>
          <w:rStyle w:val="Hyperlink"/>
          <w:rFonts w:cs="Times New Roman"/>
          <w:color w:val="000000"/>
          <w:szCs w:val="20"/>
          <w:u w:val="none"/>
        </w:rPr>
        <w:t>(Vonderembse, &amp; White, 2013)</w:t>
      </w:r>
      <w:r>
        <w:t xml:space="preserve">. Also, the paper will give details about the extra expenses and how can we deal with those. The exchange of extra time cost and the extra stock cost will also be explained in it. Also, MRP will give an insight into the production methods and the handling of the material as when to when and why the task has to be performed </w:t>
      </w:r>
      <w:r>
        <w:rPr>
          <w:color w:val="000000"/>
        </w:rPr>
        <w:t xml:space="preserve">(Agrawal, Minis, &amp; </w:t>
      </w:r>
      <w:proofErr w:type="spellStart"/>
      <w:r>
        <w:rPr>
          <w:color w:val="000000"/>
        </w:rPr>
        <w:t>Nagi</w:t>
      </w:r>
      <w:proofErr w:type="spellEnd"/>
      <w:r>
        <w:rPr>
          <w:color w:val="000000"/>
        </w:rPr>
        <w:t>, 2000)</w:t>
      </w:r>
      <w:r>
        <w:t xml:space="preserve">.  </w:t>
      </w:r>
    </w:p>
    <w:p w:rsidR="009A5C88" w:rsidRDefault="00227E23">
      <w:r>
        <w:t xml:space="preserve">The activities director Mr. Snodgrass does not have any desire to free Ed as a worker and is looked with the difficulty of staying aware of creation prerequisites, yet not losing a representative because of exhaustion. Utilizing MRP ace timetable holds client requests and things are dispatched Just-In-Time and the stock for 3079 has ended which was 275 for Saturn and 435 for Gemini. The lead time for the two congregations is seven days, and both these, 257 and 435 , need to get a size of 1000. Mr. Snodgrass presently has the gatherings made in least measures of 1,000-there are as of now no different requests. While no stock is held at the furniture house, Mr. Snodgrass has evaluated it costs $1.25 to store Gemini and $1.50 seven days to store Saturn cupboards. #079 needs 0.03 hour to produce a unit and the other cost of storage is $0.25 with $0.75 to hold the stock </w:t>
      </w:r>
      <w:r>
        <w:rPr>
          <w:rStyle w:val="Hyperlink"/>
          <w:rFonts w:cs="Times New Roman"/>
          <w:color w:val="000000"/>
          <w:szCs w:val="20"/>
          <w:u w:val="none"/>
        </w:rPr>
        <w:t>(Vonderembse, &amp; White, 2013)</w:t>
      </w:r>
      <w:r>
        <w:t>.</w:t>
      </w:r>
    </w:p>
    <w:p w:rsidR="009A5C88" w:rsidRDefault="00227E23">
      <w:r>
        <w:t xml:space="preserve">The interest of the company to develop an MRP is on the top and having a perfect MRP will be the major achievement of the administration. It will be  a positive lift in this business. The  organization is suffering because of their production and the issues in production. They need to increase the MRP and let it be in alliance with their end goals which is to raise the number of unit produced in section 3079. They need to focus on the work and follow the new changes. The class of item it should deal with must also be represented </w:t>
      </w:r>
      <w:r>
        <w:rPr>
          <w:color w:val="000000"/>
        </w:rPr>
        <w:t xml:space="preserve">(Agrawal, Minis, &amp; </w:t>
      </w:r>
      <w:proofErr w:type="spellStart"/>
      <w:r>
        <w:rPr>
          <w:color w:val="000000"/>
        </w:rPr>
        <w:t>Nagi</w:t>
      </w:r>
      <w:proofErr w:type="spellEnd"/>
      <w:r>
        <w:rPr>
          <w:color w:val="000000"/>
        </w:rPr>
        <w:t>, 2000)</w:t>
      </w:r>
      <w:r>
        <w:t xml:space="preserve">. </w:t>
      </w:r>
    </w:p>
    <w:p w:rsidR="009A5C88" w:rsidRDefault="00227E23">
      <w:r>
        <w:t xml:space="preserve">The work focus ought to have the capacity to manage every single other activity in the MRP. For the instance of sub-gatherings, it ought to be found deliberately where modifications can be made effortlessly. It is apparent that number 3079 is the most offering in the organization and ought to be given first need. The work focus should take a shot at a way that it enables the sub-gatherings to create increasingly of section 3079.Another change to be made is that the work focus ought to be connected to outside tasks like a provider. The provider has to know when to convey the crude materials. The work focus ought to have the capacity to speak with the provider and raise an alert when the provisions are nearly getting wrapped up  </w:t>
      </w:r>
      <w:r>
        <w:rPr>
          <w:color w:val="000000"/>
        </w:rPr>
        <w:t>(Randall, 2006)</w:t>
      </w:r>
      <w:r>
        <w:t xml:space="preserve">. On account of Space Age Company, their MRP does not have any association with the provider </w:t>
      </w:r>
      <w:r>
        <w:rPr>
          <w:rStyle w:val="Hyperlink"/>
          <w:rFonts w:cs="Times New Roman"/>
          <w:color w:val="000000"/>
          <w:szCs w:val="20"/>
          <w:u w:val="none"/>
        </w:rPr>
        <w:t>(Vonderembse, &amp; White, 2013)</w:t>
      </w:r>
      <w:r>
        <w:t xml:space="preserve">. The provider just speaks with the organization's supply division where they do the requesting physically. The provider much of the time needs time to set up the provisions. This causes a deferral in the organization's tasks since they should hold up until the point when the provider is prepared to bring the supplies </w:t>
      </w:r>
      <w:r>
        <w:rPr>
          <w:color w:val="000000"/>
        </w:rPr>
        <w:t>(Randall, 2006)</w:t>
      </w:r>
      <w:r>
        <w:t xml:space="preserve">. </w:t>
      </w:r>
    </w:p>
    <w:p w:rsidR="009A5C88" w:rsidRDefault="00227E23">
      <w:r>
        <w:t xml:space="preserve">The MRP sub gatherings ought to have distinctive individuals who can deal with them. For this situation just Ed could set section 3079. Ed is an individual and can be sick whenever or can be engaged with a mischance. This circumstance can leave him an out of an express that he can't work appropriately. This will incapacitate the organization's tasks. This is on the grounds that there will be nobody to supplant Ed. The administration ought to be exhorted that, for it to work reliably and create a most extreme number of items there ought to be someone else. This individual can go about as Ed's right hand when he isn't anywhere near. It will likewise make a space for greater business openings in the organization </w:t>
      </w:r>
      <w:r>
        <w:rPr>
          <w:color w:val="000000"/>
        </w:rPr>
        <w:t>(Tang, 2015).</w:t>
      </w:r>
    </w:p>
    <w:p w:rsidR="009A5C88" w:rsidRDefault="00227E23">
      <w:r>
        <w:t>The organization should build the base amounts that the sub gatherings from 1000 to a higher figure. They ought to do as such if the organization is occupied with taking care of the requests from th</w:t>
      </w:r>
      <w:r>
        <w:rPr>
          <w:shd w:val="clear" w:color="auto" w:fill="FFFFFF"/>
        </w:rPr>
        <w:t xml:space="preserve">eir customers (Zhou, &amp; </w:t>
      </w:r>
      <w:proofErr w:type="spellStart"/>
      <w:r>
        <w:rPr>
          <w:shd w:val="clear" w:color="auto" w:fill="FFFFFF"/>
        </w:rPr>
        <w:t>Grubbstrom</w:t>
      </w:r>
      <w:proofErr w:type="spellEnd"/>
      <w:r>
        <w:rPr>
          <w:shd w:val="clear" w:color="auto" w:fill="FFFFFF"/>
        </w:rPr>
        <w:t xml:space="preserve">, 2004). </w:t>
      </w:r>
      <w:r>
        <w:t xml:space="preserve">Their frameworks have the limit of creating a higher number for the items. They should put a greatest figure to guarantee that the item does not ever come up short on supply. </w:t>
      </w:r>
    </w:p>
    <w:p w:rsidR="009A5C88" w:rsidRDefault="00227E23">
      <w:r>
        <w:t xml:space="preserve">Organizations have to pay their employees if they work for additional time in the company. This additional time cost is an extra expense on the organization which arises after they have paid the employees for the additional hours of work. These additional hours and cost are different for each organization. These expenses are the costs of the company because it is yet to get ready.  However, specialist do not charge for their additional work because when they are in the office and the work is yet to be done, they have to end it. Their duty is to finish the work; it is not bound by the hours or time they give.  Now, MRP is actually a hero for the cost. It helps the organization to decrease the additional costs and expenses it has to pay (Zhou, &amp; </w:t>
      </w:r>
      <w:proofErr w:type="spellStart"/>
      <w:r>
        <w:t>Grubbstrom</w:t>
      </w:r>
      <w:proofErr w:type="spellEnd"/>
      <w:r>
        <w:t xml:space="preserve">, 2004). </w:t>
      </w:r>
    </w:p>
    <w:p w:rsidR="009A5C88" w:rsidRDefault="00227E23">
      <w:r>
        <w:t xml:space="preserve">Today, every organization is depending on MRP for more hours and more production each day. These additional hours are being used for MRP which does not even need any compensation for it </w:t>
      </w:r>
      <w:r>
        <w:rPr>
          <w:color w:val="000000"/>
        </w:rPr>
        <w:t>(Tang, 2015)</w:t>
      </w:r>
      <w:r>
        <w:t xml:space="preserve">. Stock on the other hand is another  raiser in the cost, when the organization is looking for the stock, they incur some cost.  This can be for the protection, stockpiling or even deterioration. These expenses accumulate and end up into an aggregated cost. The mission of the administration is to reduce this cost to the maximum level they can. MRP will take new stock only when the old one is clear. The new stock is kept in the store room for some time and then it is moved to the preparation phase </w:t>
      </w:r>
      <w:r>
        <w:rPr>
          <w:color w:val="000000"/>
        </w:rPr>
        <w:t>(Tang, 2015)</w:t>
      </w:r>
      <w:r>
        <w:t xml:space="preserve">. </w:t>
      </w:r>
    </w:p>
    <w:p w:rsidR="009A5C88" w:rsidRDefault="00227E23">
      <w:r>
        <w:t xml:space="preserve">These expense whether for an additional time or the stock are never desirable. However there is some harmony observed between these two costs. This can be explained with the help of MRP. With MRP we can reduce both the cost and the mission of the organization to decrease these costs will be accomplished. The cash which will be saved from these expenses can be used for many other beneficial purposes. When the stock is ordered and the cost are less in these cases, it will be delivered soon. Also, the person who orders more can work for more time too. This will result in the decrease of the cost. Accordingly, MRP guarantees that the material is ordered in the perfect time of need. This will also decrease the cost and increase the efficiency. Also, there will be less time to be paid. The organization can order more material from the cash saved which they would have to pay to the labors for extra time. This will result in the production of more units which will bring more profit to the organization (Zhou, &amp; </w:t>
      </w:r>
      <w:proofErr w:type="spellStart"/>
      <w:r>
        <w:t>Grubbstrom</w:t>
      </w:r>
      <w:proofErr w:type="spellEnd"/>
      <w:r>
        <w:t>, 2004).</w:t>
      </w:r>
    </w:p>
    <w:p w:rsidR="009A5C88" w:rsidRDefault="00227E23">
      <w:pPr>
        <w:ind w:firstLine="0"/>
      </w:pPr>
      <w:r>
        <w:t>Expense for 3079  per week = $0.25 for each unit</w:t>
      </w:r>
    </w:p>
    <w:p w:rsidR="009A5C88" w:rsidRDefault="00227E23">
      <w:pPr>
        <w:ind w:firstLine="0"/>
      </w:pPr>
      <w:r>
        <w:t>Space cost 257 and 435 per week = $0.75 for each unit</w:t>
      </w:r>
    </w:p>
    <w:p w:rsidR="009A5C88" w:rsidRDefault="00227E23">
      <w:pPr>
        <w:ind w:firstLine="0"/>
      </w:pPr>
      <w:r>
        <w:t>$1.25 is required each week to save a Genesis completed item.</w:t>
      </w:r>
    </w:p>
    <w:p w:rsidR="009A5C88" w:rsidRDefault="00227E23">
      <w:pPr>
        <w:ind w:firstLine="0"/>
      </w:pPr>
      <w:r>
        <w:t xml:space="preserve">Saturn item space expense = $1.50 for each unit. </w:t>
      </w:r>
    </w:p>
    <w:p w:rsidR="009A5C88" w:rsidRDefault="00227E23">
      <w:pPr>
        <w:ind w:firstLine="0"/>
      </w:pPr>
      <w:r>
        <w:t>For six weeks, we can devise a plan.</w:t>
      </w:r>
    </w:p>
    <w:tbl>
      <w:tblPr>
        <w:tblW w:w="0" w:type="auto"/>
        <w:tblInd w:w="-117" w:type="dxa"/>
        <w:tblLayout w:type="fixed"/>
        <w:tblLook w:val="0000" w:firstRow="0" w:lastRow="0" w:firstColumn="0" w:lastColumn="0" w:noHBand="0" w:noVBand="0"/>
      </w:tblPr>
      <w:tblGrid>
        <w:gridCol w:w="1279"/>
        <w:gridCol w:w="1184"/>
        <w:gridCol w:w="1185"/>
        <w:gridCol w:w="1187"/>
        <w:gridCol w:w="1185"/>
        <w:gridCol w:w="1184"/>
        <w:gridCol w:w="1185"/>
        <w:gridCol w:w="1195"/>
      </w:tblGrid>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Item</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1</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2</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Week3</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4</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5</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9A5C88">
            <w:pPr>
              <w:snapToGrid w:val="0"/>
              <w:spacing w:line="100" w:lineRule="atLeast"/>
            </w:pP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Gemini</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400</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700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500</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400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600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3200</w:t>
            </w: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Storage @ $1.25/week</w:t>
            </w:r>
          </w:p>
        </w:tc>
        <w:tc>
          <w:tcPr>
            <w:tcW w:w="1184" w:type="dxa"/>
            <w:tcBorders>
              <w:top w:val="single" w:sz="4" w:space="0" w:color="000000"/>
              <w:left w:val="single" w:sz="4" w:space="0" w:color="000000"/>
              <w:bottom w:val="single" w:sz="4" w:space="0" w:color="000000"/>
            </w:tcBorders>
            <w:shd w:val="clear" w:color="auto" w:fill="auto"/>
          </w:tcPr>
          <w:p w:rsidR="009A5C88" w:rsidRDefault="009A5C88">
            <w:pPr>
              <w:snapToGrid w:val="0"/>
              <w:spacing w:line="100" w:lineRule="atLeast"/>
            </w:pP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750</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875</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625</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750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9A5C88">
            <w:pPr>
              <w:snapToGrid w:val="0"/>
              <w:spacing w:line="100" w:lineRule="atLeast"/>
            </w:pP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Saturn</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400</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400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600</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300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2300</w:t>
            </w: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Storage @ $1.50</w:t>
            </w:r>
          </w:p>
        </w:tc>
        <w:tc>
          <w:tcPr>
            <w:tcW w:w="1184" w:type="dxa"/>
            <w:tcBorders>
              <w:top w:val="single" w:sz="4" w:space="0" w:color="000000"/>
              <w:left w:val="single" w:sz="4" w:space="0" w:color="000000"/>
              <w:bottom w:val="single" w:sz="4" w:space="0" w:color="000000"/>
            </w:tcBorders>
            <w:shd w:val="clear" w:color="auto" w:fill="auto"/>
          </w:tcPr>
          <w:p w:rsidR="009A5C88" w:rsidRDefault="009A5C88">
            <w:pPr>
              <w:snapToGrid w:val="0"/>
              <w:spacing w:line="100" w:lineRule="atLeast"/>
            </w:pP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450</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600</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450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450</w:t>
            </w: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Total 3079</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800</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1100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1100</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700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900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5500</w:t>
            </w: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Storage @ $0.25/week</w:t>
            </w:r>
          </w:p>
        </w:tc>
        <w:tc>
          <w:tcPr>
            <w:tcW w:w="1184" w:type="dxa"/>
            <w:tcBorders>
              <w:top w:val="single" w:sz="4" w:space="0" w:color="000000"/>
              <w:left w:val="single" w:sz="4" w:space="0" w:color="000000"/>
              <w:bottom w:val="single" w:sz="4" w:space="0" w:color="000000"/>
            </w:tcBorders>
            <w:shd w:val="clear" w:color="auto" w:fill="auto"/>
          </w:tcPr>
          <w:p w:rsidR="009A5C88" w:rsidRDefault="009A5C88">
            <w:pPr>
              <w:snapToGrid w:val="0"/>
              <w:spacing w:line="100" w:lineRule="atLeast"/>
            </w:pP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225</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200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275</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275</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175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225</w:t>
            </w:r>
          </w:p>
        </w:tc>
      </w:tr>
      <w:tr w:rsidR="009A5C88">
        <w:tc>
          <w:tcPr>
            <w:tcW w:w="1279"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Storage for 435 and 257 @ $0.76/unit</w:t>
            </w:r>
          </w:p>
        </w:tc>
        <w:tc>
          <w:tcPr>
            <w:tcW w:w="1184" w:type="dxa"/>
            <w:tcBorders>
              <w:top w:val="single" w:sz="4" w:space="0" w:color="000000"/>
              <w:left w:val="single" w:sz="4" w:space="0" w:color="000000"/>
              <w:bottom w:val="single" w:sz="4" w:space="0" w:color="000000"/>
            </w:tcBorders>
            <w:shd w:val="clear" w:color="auto" w:fill="auto"/>
          </w:tcPr>
          <w:p w:rsidR="009A5C88" w:rsidRDefault="009A5C88">
            <w:pPr>
              <w:snapToGrid w:val="0"/>
              <w:spacing w:line="100" w:lineRule="atLeast"/>
            </w:pP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675</w:t>
            </w:r>
          </w:p>
        </w:tc>
        <w:tc>
          <w:tcPr>
            <w:tcW w:w="118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600</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825</w:t>
            </w:r>
          </w:p>
        </w:tc>
        <w:tc>
          <w:tcPr>
            <w:tcW w:w="1184"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825</w:t>
            </w:r>
          </w:p>
        </w:tc>
        <w:tc>
          <w:tcPr>
            <w:tcW w:w="1185"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393.7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675</w:t>
            </w:r>
          </w:p>
        </w:tc>
      </w:tr>
    </w:tbl>
    <w:p w:rsidR="009A5C88" w:rsidRDefault="009A5C88"/>
    <w:p w:rsidR="009A5C88" w:rsidRDefault="00227E23">
      <w:pPr>
        <w:ind w:firstLine="0"/>
      </w:pPr>
      <w:r>
        <w:t>Plan</w:t>
      </w:r>
    </w:p>
    <w:tbl>
      <w:tblPr>
        <w:tblW w:w="0" w:type="auto"/>
        <w:tblInd w:w="-117" w:type="dxa"/>
        <w:tblLayout w:type="fixed"/>
        <w:tblLook w:val="0000" w:firstRow="0" w:lastRow="0" w:firstColumn="0" w:lastColumn="0" w:noHBand="0" w:noVBand="0"/>
      </w:tblPr>
      <w:tblGrid>
        <w:gridCol w:w="1196"/>
        <w:gridCol w:w="1197"/>
        <w:gridCol w:w="1197"/>
        <w:gridCol w:w="1197"/>
        <w:gridCol w:w="1196"/>
        <w:gridCol w:w="1197"/>
        <w:gridCol w:w="1197"/>
        <w:gridCol w:w="1205"/>
      </w:tblGrid>
      <w:tr w:rsidR="009A5C88">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Item</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1</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2</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3</w:t>
            </w:r>
          </w:p>
        </w:tc>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4</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 xml:space="preserve">Week 5 </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Week 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Total</w:t>
            </w:r>
          </w:p>
        </w:tc>
      </w:tr>
      <w:tr w:rsidR="009A5C88">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Gemini</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533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533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533</w:t>
            </w:r>
          </w:p>
        </w:tc>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533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533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533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3198</w:t>
            </w:r>
          </w:p>
        </w:tc>
      </w:tr>
      <w:tr w:rsidR="009A5C88">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Saturn</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383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383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383</w:t>
            </w:r>
          </w:p>
        </w:tc>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383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383</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383</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2298</w:t>
            </w:r>
          </w:p>
        </w:tc>
      </w:tr>
      <w:tr w:rsidR="009A5C88">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3079</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916</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916</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916</w:t>
            </w:r>
          </w:p>
        </w:tc>
        <w:tc>
          <w:tcPr>
            <w:tcW w:w="1196"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916</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916</w:t>
            </w:r>
          </w:p>
        </w:tc>
        <w:tc>
          <w:tcPr>
            <w:tcW w:w="1197" w:type="dxa"/>
            <w:tcBorders>
              <w:top w:val="single" w:sz="4" w:space="0" w:color="000000"/>
              <w:left w:val="single" w:sz="4" w:space="0" w:color="000000"/>
              <w:bottom w:val="single" w:sz="4" w:space="0" w:color="000000"/>
            </w:tcBorders>
            <w:shd w:val="clear" w:color="auto" w:fill="auto"/>
          </w:tcPr>
          <w:p w:rsidR="009A5C88" w:rsidRDefault="00227E23">
            <w:pPr>
              <w:spacing w:line="100" w:lineRule="atLeast"/>
              <w:ind w:firstLine="0"/>
            </w:pPr>
            <w:r>
              <w:t>916</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A5C88" w:rsidRDefault="00227E23">
            <w:pPr>
              <w:spacing w:line="100" w:lineRule="atLeast"/>
              <w:ind w:firstLine="0"/>
            </w:pPr>
            <w:r>
              <w:t>5496</w:t>
            </w:r>
          </w:p>
        </w:tc>
      </w:tr>
    </w:tbl>
    <w:p w:rsidR="009A5C88" w:rsidRDefault="00227E23">
      <w:pPr>
        <w:ind w:firstLine="0"/>
      </w:pPr>
      <w:r>
        <w:tab/>
        <w:t xml:space="preserve">The company paid $4000 to get 1000 units from Gemini Furniture’s. On the other side, they paid $3450 for 1000 units from Saturn Furniture. Therefore, the total for both the furniture’s amount to $7450 </w:t>
      </w:r>
      <w:r>
        <w:rPr>
          <w:rStyle w:val="Hyperlink"/>
          <w:rFonts w:cs="Times New Roman"/>
          <w:color w:val="000000"/>
          <w:szCs w:val="20"/>
          <w:u w:val="none"/>
        </w:rPr>
        <w:t>(Vonderembse, &amp; White, 2013)</w:t>
      </w:r>
      <w:r>
        <w:t>.</w:t>
      </w:r>
    </w:p>
    <w:p w:rsidR="009A5C88" w:rsidRDefault="00227E23">
      <w:r>
        <w:t xml:space="preserve">For a time of sic weeks, $4000 was paid for 1000 units of finalized Gemini Furniture and $3450 for an alternate 1000 units of Saturn Furniture. The sun space take for units of both furniture models is $7450 </w:t>
      </w:r>
      <w:r>
        <w:rPr>
          <w:rStyle w:val="Hyperlink"/>
          <w:rFonts w:cs="Times New Roman"/>
          <w:color w:val="000000"/>
          <w:szCs w:val="20"/>
          <w:u w:val="none"/>
        </w:rPr>
        <w:t>(Vonderembse, &amp; White, 2013)</w:t>
      </w:r>
      <w:r>
        <w:t>.</w:t>
      </w:r>
    </w:p>
    <w:p w:rsidR="009A5C88" w:rsidRDefault="00227E23">
      <w:pPr>
        <w:ind w:firstLine="0"/>
      </w:pPr>
      <w:r>
        <w:t xml:space="preserve">For a 6 weeks period = $4125 </w:t>
      </w:r>
    </w:p>
    <w:p w:rsidR="009A5C88" w:rsidRDefault="00227E23">
      <w:pPr>
        <w:ind w:firstLine="0"/>
      </w:pPr>
      <w:r>
        <w:t>The amount $5280 has to be given in the plan.</w:t>
      </w:r>
    </w:p>
    <w:p w:rsidR="009A5C88" w:rsidRPr="00C87746" w:rsidRDefault="00227E23">
      <w:pPr>
        <w:rPr>
          <w:color w:val="000000" w:themeColor="text1"/>
        </w:rPr>
      </w:pPr>
      <w:r>
        <w:t xml:space="preserve">In this manufacturing process, the company produces small batches of the unit at a given time and these are customized according to the order. There are a few stages and phases In the entire process which occur in a sequence. The flexibility of this system is high along with the high expansion facility and also, the items which pass through this process are also flexible. The machines needed for this job are also multipurpose machines </w:t>
      </w:r>
      <w:r>
        <w:rPr>
          <w:rStyle w:val="Hyperlink"/>
          <w:rFonts w:cs="Times New Roman"/>
          <w:color w:val="000000"/>
          <w:szCs w:val="20"/>
          <w:u w:val="none"/>
        </w:rPr>
        <w:t>(Vonderembse, &amp; White, 2013)</w:t>
      </w:r>
      <w:r>
        <w:t>.</w:t>
      </w:r>
      <w:r w:rsidR="00B15844">
        <w:t xml:space="preserve"> </w:t>
      </w:r>
      <w:r w:rsidR="009258F6" w:rsidRPr="00C87746">
        <w:rPr>
          <w:highlight w:val="yellow"/>
        </w:rPr>
        <w:t>The</w:t>
      </w:r>
      <w:r w:rsidR="00C87746">
        <w:rPr>
          <w:highlight w:val="yellow"/>
        </w:rPr>
        <w:t xml:space="preserve"> inventory </w:t>
      </w:r>
      <w:r w:rsidR="00273562">
        <w:rPr>
          <w:highlight w:val="yellow"/>
        </w:rPr>
        <w:t xml:space="preserve">is produced at a </w:t>
      </w:r>
      <w:r w:rsidR="00D53C39">
        <w:rPr>
          <w:highlight w:val="yellow"/>
        </w:rPr>
        <w:t>collective</w:t>
      </w:r>
      <w:r w:rsidR="00273562">
        <w:rPr>
          <w:highlight w:val="yellow"/>
        </w:rPr>
        <w:t xml:space="preserve"> level so as to reduce the manufacturing cost if a single unit. By doing so there has been a positive change in depreciation costs of the company. The MRP system us doing very well as in </w:t>
      </w:r>
      <w:r w:rsidR="00810967">
        <w:rPr>
          <w:highlight w:val="yellow"/>
        </w:rPr>
        <w:t>the system runs unattended and the output is reducing the workload if the engineer involved</w:t>
      </w:r>
      <w:r w:rsidR="00810967" w:rsidRPr="00D564C7">
        <w:t xml:space="preserve">. </w:t>
      </w:r>
      <w:r w:rsidR="00D564C7" w:rsidRPr="00D564C7">
        <w:rPr>
          <w:highlight w:val="yellow"/>
        </w:rPr>
        <w:t>Th</w:t>
      </w:r>
      <w:r w:rsidR="00D564C7">
        <w:rPr>
          <w:highlight w:val="yellow"/>
        </w:rPr>
        <w:t>e specific part 3079 requiring an extra attention on its making</w:t>
      </w:r>
      <w:r w:rsidR="00D564C7" w:rsidRPr="00B64F84">
        <w:rPr>
          <w:highlight w:val="yellow"/>
        </w:rPr>
        <w:t xml:space="preserve"> </w:t>
      </w:r>
      <w:r w:rsidR="00067FD3" w:rsidRPr="00B64F84">
        <w:rPr>
          <w:highlight w:val="yellow"/>
        </w:rPr>
        <w:t xml:space="preserve"> </w:t>
      </w:r>
      <w:r w:rsidR="00032D20" w:rsidRPr="00B64F84">
        <w:rPr>
          <w:highlight w:val="yellow"/>
        </w:rPr>
        <w:t>in a lathe</w:t>
      </w:r>
      <w:r w:rsidR="00B64F84">
        <w:rPr>
          <w:highlight w:val="yellow"/>
        </w:rPr>
        <w:t xml:space="preserve"> machine, and the overtime was </w:t>
      </w:r>
      <w:r w:rsidR="004B3C1A">
        <w:rPr>
          <w:highlight w:val="yellow"/>
        </w:rPr>
        <w:t xml:space="preserve">done by the engineer who </w:t>
      </w:r>
      <w:r w:rsidR="00DB0615">
        <w:rPr>
          <w:highlight w:val="yellow"/>
        </w:rPr>
        <w:t>got</w:t>
      </w:r>
      <w:r w:rsidR="004B3C1A">
        <w:rPr>
          <w:highlight w:val="yellow"/>
        </w:rPr>
        <w:t xml:space="preserve"> tired of his extra duties. By introducing the MRP system </w:t>
      </w:r>
      <w:r w:rsidR="00DB0615">
        <w:rPr>
          <w:highlight w:val="yellow"/>
        </w:rPr>
        <w:t xml:space="preserve">the time cab be saved and this will be invested in the lathe machine. </w:t>
      </w:r>
      <w:r w:rsidR="00032D20">
        <w:t xml:space="preserve"> </w:t>
      </w:r>
      <w:r w:rsidR="009F03B6" w:rsidRPr="009F03B6">
        <w:rPr>
          <w:highlight w:val="yellow"/>
        </w:rPr>
        <w:t xml:space="preserve">The </w:t>
      </w:r>
      <w:r w:rsidR="009F03B6" w:rsidRPr="009F03B6">
        <w:rPr>
          <w:color w:val="000000" w:themeColor="text1"/>
          <w:highlight w:val="yellow"/>
        </w:rPr>
        <w:t>com</w:t>
      </w:r>
      <w:r w:rsidR="009F03B6">
        <w:rPr>
          <w:color w:val="000000" w:themeColor="text1"/>
          <w:highlight w:val="yellow"/>
        </w:rPr>
        <w:t xml:space="preserve">pany needs to </w:t>
      </w:r>
      <w:r w:rsidR="0017750C">
        <w:rPr>
          <w:color w:val="000000" w:themeColor="text1"/>
          <w:highlight w:val="yellow"/>
        </w:rPr>
        <w:t xml:space="preserve">think of some idea where they can achieve their targets without making their engineer unhappy as he was the best and </w:t>
      </w:r>
      <w:r w:rsidR="00B74376">
        <w:rPr>
          <w:color w:val="000000" w:themeColor="text1"/>
          <w:highlight w:val="yellow"/>
        </w:rPr>
        <w:t xml:space="preserve">most experienced employee. Losing him would mean a great loss to the company. </w:t>
      </w:r>
      <w:r w:rsidR="003D2E52">
        <w:rPr>
          <w:color w:val="000000" w:themeColor="text1"/>
          <w:highlight w:val="yellow"/>
        </w:rPr>
        <w:t xml:space="preserve">The orders of the other parts were more as compared to tis part as it was used in a specific amount whereas the Saturn and the Gemini were using the other parts. </w:t>
      </w:r>
      <w:r w:rsidR="009623EA">
        <w:rPr>
          <w:color w:val="000000" w:themeColor="text1"/>
          <w:highlight w:val="yellow"/>
        </w:rPr>
        <w:t xml:space="preserve">So, a wise decision would help the company to achieve the desired output without annoying anyone. </w:t>
      </w:r>
    </w:p>
    <w:p w:rsidR="009A5C88" w:rsidRDefault="00227E23">
      <w:r>
        <w:t xml:space="preserve">Batch is  a production process in which a lot of same item is produced at one time and the number of units is also predefined. The process is sequential and the machines are all the same </w:t>
      </w:r>
      <w:r>
        <w:rPr>
          <w:rStyle w:val="Hyperlink"/>
          <w:rFonts w:cs="Times New Roman"/>
          <w:color w:val="000000"/>
          <w:szCs w:val="20"/>
          <w:u w:val="none"/>
        </w:rPr>
        <w:t>(Vonderembse, &amp; White, 2013)</w:t>
      </w:r>
      <w:r>
        <w:t>.</w:t>
      </w:r>
    </w:p>
    <w:p w:rsidR="009A5C88" w:rsidRDefault="00227E23">
      <w:r>
        <w:t xml:space="preserve">The items are needed in a large number at times. In repetitive batch, the items go through the process in a sequence to turn into a finished product. This system is used in mass production. This is one of the finest methods for mass production because same units are produced in the given time </w:t>
      </w:r>
      <w:r>
        <w:rPr>
          <w:rStyle w:val="Hyperlink"/>
          <w:rFonts w:cs="Times New Roman"/>
          <w:color w:val="000000"/>
          <w:szCs w:val="20"/>
          <w:u w:val="none"/>
        </w:rPr>
        <w:t>(Vonderembse, &amp; White, 2013)</w:t>
      </w:r>
      <w:r>
        <w:t>.</w:t>
      </w:r>
    </w:p>
    <w:p w:rsidR="009A5C88" w:rsidRDefault="00227E23">
      <w:r>
        <w:t xml:space="preserve">In continuous batch, the manufacturing process is always on. The material are always moving from one machines to another and from one process to another. Either the material is being heated or alloyed or cooled. However, this operation actually is based on job shop </w:t>
      </w:r>
      <w:r>
        <w:rPr>
          <w:rStyle w:val="Hyperlink"/>
          <w:rFonts w:cs="Times New Roman"/>
          <w:color w:val="000000"/>
          <w:szCs w:val="20"/>
          <w:u w:val="none"/>
        </w:rPr>
        <w:t>(</w:t>
      </w:r>
      <w:proofErr w:type="spellStart"/>
      <w:r>
        <w:rPr>
          <w:rStyle w:val="Hyperlink"/>
          <w:rFonts w:cs="Times New Roman"/>
          <w:color w:val="000000"/>
          <w:szCs w:val="20"/>
          <w:u w:val="none"/>
        </w:rPr>
        <w:t>Vonderembse</w:t>
      </w:r>
      <w:proofErr w:type="spellEnd"/>
      <w:r>
        <w:rPr>
          <w:rStyle w:val="Hyperlink"/>
          <w:rFonts w:cs="Times New Roman"/>
          <w:color w:val="000000"/>
          <w:szCs w:val="20"/>
          <w:u w:val="none"/>
        </w:rPr>
        <w:t>, &amp; White, 2013)</w:t>
      </w:r>
      <w:r>
        <w:t>.</w:t>
      </w:r>
      <w:r w:rsidR="00C81C32">
        <w:t xml:space="preserve"> </w:t>
      </w:r>
      <w:r w:rsidR="009F7D41" w:rsidRPr="005F0EB6">
        <w:rPr>
          <w:highlight w:val="yellow"/>
        </w:rPr>
        <w:t>In</w:t>
      </w:r>
      <w:r w:rsidR="00F910DF">
        <w:rPr>
          <w:highlight w:val="yellow"/>
        </w:rPr>
        <w:t xml:space="preserve"> this process the managers have to see that the depreciation cost is not much and the </w:t>
      </w:r>
      <w:r w:rsidR="00375F9D">
        <w:rPr>
          <w:highlight w:val="yellow"/>
        </w:rPr>
        <w:t xml:space="preserve">cost is reduced by manufacturing more items in a go rather than making </w:t>
      </w:r>
      <w:r w:rsidR="00605BA2">
        <w:rPr>
          <w:highlight w:val="yellow"/>
        </w:rPr>
        <w:t xml:space="preserve">a few items. A bulk manufacturing process </w:t>
      </w:r>
      <w:r w:rsidR="00BD3BA1">
        <w:rPr>
          <w:highlight w:val="yellow"/>
        </w:rPr>
        <w:t xml:space="preserve">is always a good idea for any company </w:t>
      </w:r>
      <w:r w:rsidR="00793BFE">
        <w:rPr>
          <w:highlight w:val="yellow"/>
        </w:rPr>
        <w:t xml:space="preserve">as it is close effective and less </w:t>
      </w:r>
      <w:proofErr w:type="spellStart"/>
      <w:r w:rsidR="00793BFE">
        <w:rPr>
          <w:highlight w:val="yellow"/>
        </w:rPr>
        <w:t>labour</w:t>
      </w:r>
      <w:proofErr w:type="spellEnd"/>
      <w:r w:rsidR="00793BFE">
        <w:rPr>
          <w:highlight w:val="yellow"/>
        </w:rPr>
        <w:t xml:space="preserve"> force is required. </w:t>
      </w:r>
    </w:p>
    <w:p w:rsidR="009A5C88" w:rsidRDefault="00227E23">
      <w:r>
        <w:t xml:space="preserve">In any organization, there is a complete generation design on which the activities are based. There are various activities which start the generation design. Labor always seek items before they cut. This activity is lean. Lean tasks are those jobs which require less raw material and efforts to convert these into a finished and useful product. This process needs negligible assets, now, scanner and tags are required to recognize the activities. When a job is done and a particular activity is over, the supervisor gets a tag and sends it to the booking office. In office the tag is analyzed in computer and this way, they come to know about the production, and they can control it </w:t>
      </w:r>
      <w:r>
        <w:rPr>
          <w:rStyle w:val="Hyperlink"/>
          <w:rFonts w:cs="Times New Roman"/>
          <w:color w:val="000000"/>
          <w:szCs w:val="20"/>
          <w:u w:val="none"/>
        </w:rPr>
        <w:t>(Vonderembse, &amp; White, 2013)</w:t>
      </w:r>
      <w:r>
        <w:t>.</w:t>
      </w:r>
    </w:p>
    <w:p w:rsidR="009A5C88" w:rsidRDefault="00227E23">
      <w:r>
        <w:t xml:space="preserve">There are three major ways through which the setups of the activity can be checked. First of all, quality control forms give us the </w:t>
      </w:r>
      <w:proofErr w:type="spellStart"/>
      <w:r>
        <w:t>knowledge</w:t>
      </w:r>
      <w:r w:rsidRPr="00D237CB">
        <w:rPr>
          <w:highlight w:val="yellow"/>
        </w:rPr>
        <w:t>.</w:t>
      </w:r>
      <w:r w:rsidR="001D0C67">
        <w:rPr>
          <w:highlight w:val="yellow"/>
        </w:rPr>
        <w:t>The</w:t>
      </w:r>
      <w:proofErr w:type="spellEnd"/>
      <w:r w:rsidR="001D0C67">
        <w:rPr>
          <w:highlight w:val="yellow"/>
        </w:rPr>
        <w:t xml:space="preserve"> quality is a basic and baseline if any product that cannot be overlooked. </w:t>
      </w:r>
      <w:r w:rsidR="00D23063">
        <w:rPr>
          <w:highlight w:val="yellow"/>
        </w:rPr>
        <w:t xml:space="preserve">It us the most challenging part where the best quality raw material is to be </w:t>
      </w:r>
      <w:r w:rsidR="00CA3152">
        <w:rPr>
          <w:highlight w:val="yellow"/>
        </w:rPr>
        <w:t xml:space="preserve">incorporated keeping the quality high but costs low. </w:t>
      </w:r>
      <w:r w:rsidR="00D23063">
        <w:rPr>
          <w:highlight w:val="yellow"/>
        </w:rPr>
        <w:t xml:space="preserve"> </w:t>
      </w:r>
      <w:r w:rsidR="00D237CB">
        <w:t xml:space="preserve"> </w:t>
      </w:r>
      <w:r>
        <w:t xml:space="preserve"> Secondly, Just in time method helps us to check the activity and at last, </w:t>
      </w:r>
      <w:proofErr w:type="spellStart"/>
      <w:r>
        <w:t>Jidoka</w:t>
      </w:r>
      <w:proofErr w:type="spellEnd"/>
      <w:r>
        <w:t xml:space="preserve">, which deals with </w:t>
      </w:r>
      <w:proofErr w:type="spellStart"/>
      <w:r>
        <w:t>rebortization</w:t>
      </w:r>
      <w:proofErr w:type="spellEnd"/>
      <w:r>
        <w:t xml:space="preserve">. In this process, the production is instantly stopped if any fault is recognized in the form of deformity or the blend. Auxiliary technique is used in which the capacity and speech is checked. It actually deals with the employment activities and the way client and the organization interact </w:t>
      </w:r>
      <w:r>
        <w:rPr>
          <w:rStyle w:val="Hyperlink"/>
          <w:rFonts w:cs="Times New Roman"/>
          <w:color w:val="000000"/>
          <w:szCs w:val="20"/>
          <w:u w:val="none"/>
        </w:rPr>
        <w:t>(Vonderembse, &amp; White, 2013)</w:t>
      </w:r>
      <w:r>
        <w:t>.</w:t>
      </w:r>
    </w:p>
    <w:p w:rsidR="009A5C88" w:rsidRDefault="00227E23">
      <w:r>
        <w:t>Organizations are only interested in maximizing the value, and this happened when their benefit is more than the cost. In my opinion, to make more profits, they should choose a creation form. They can go for a manufacturing process in which same items are produced again and again</w:t>
      </w:r>
      <w:r w:rsidR="005106DD">
        <w:rPr>
          <w:highlight w:val="yellow"/>
        </w:rPr>
        <w:t xml:space="preserve"> In this way </w:t>
      </w:r>
      <w:r w:rsidR="008D54D4">
        <w:rPr>
          <w:highlight w:val="yellow"/>
        </w:rPr>
        <w:t xml:space="preserve">the workers become expert by doing the same task again and again and it is seen that the </w:t>
      </w:r>
      <w:r w:rsidR="00F65681">
        <w:rPr>
          <w:highlight w:val="yellow"/>
        </w:rPr>
        <w:t xml:space="preserve">depreciation costs are also reduced because the repetition if the same process brings out the </w:t>
      </w:r>
      <w:r w:rsidR="000F17DD">
        <w:rPr>
          <w:highlight w:val="yellow"/>
        </w:rPr>
        <w:t xml:space="preserve">best skills in the people involved. They gradually become experts to a level that </w:t>
      </w:r>
      <w:r w:rsidR="00804E71">
        <w:rPr>
          <w:highlight w:val="yellow"/>
        </w:rPr>
        <w:t xml:space="preserve">they can fix the minor flaws in the inventory or the machinery themselves. </w:t>
      </w:r>
      <w:r>
        <w:t xml:space="preserve">Also, they should invest in those machines which can refresh the capacities with the passage of time </w:t>
      </w:r>
      <w:r>
        <w:rPr>
          <w:color w:val="000000"/>
        </w:rPr>
        <w:t>(Tang, 2015)</w:t>
      </w:r>
      <w:r>
        <w:t xml:space="preserve">. If such machines are acquired, the number of units produced will be high and it will not require any labor or man force to intervene, as the machine will operate automatically. </w:t>
      </w:r>
    </w:p>
    <w:p w:rsidR="009A5C88" w:rsidRDefault="00227E23">
      <w:r>
        <w:t xml:space="preserve">Also, to ensure the best working model, an organization needs to have a good MRP. MRP is a key factor in manufacturing process. If MRP is good, the production will be good. It will help them to avoid any delays in delivering the finished product. Also, any changes in market supply can be dealt easily through this. MRP is fast and simple to adjust. Although organizations want to employ the specialist to take care of their productions. Therefore, if the substitute is not good, the company may fall. The given company can use MRP to reduce the extra time and costs (Zhou, &amp; </w:t>
      </w:r>
      <w:proofErr w:type="spellStart"/>
      <w:r>
        <w:t>Grubbstrom</w:t>
      </w:r>
      <w:proofErr w:type="spellEnd"/>
      <w:r>
        <w:t>, 2004). A successful organization transforms these costs into income. If these steps are taken by the organization, it will be effective and proficient.</w:t>
      </w:r>
    </w:p>
    <w:p w:rsidR="009A5C88" w:rsidRDefault="00227E23">
      <w:r>
        <w:t xml:space="preserve">If new methods and developments are introduced in any organization, the results will be more viable. Innovations area step towards a bright future and today, we are loaded with new and complex innovations. </w:t>
      </w:r>
      <w:r w:rsidR="008E339B" w:rsidRPr="008E339B">
        <w:rPr>
          <w:highlight w:val="yellow"/>
        </w:rPr>
        <w:t>No matter</w:t>
      </w:r>
      <w:r w:rsidR="008E339B">
        <w:rPr>
          <w:highlight w:val="yellow"/>
        </w:rPr>
        <w:t xml:space="preserve"> how </w:t>
      </w:r>
      <w:r w:rsidR="00425B6B">
        <w:rPr>
          <w:highlight w:val="yellow"/>
        </w:rPr>
        <w:t>advanced</w:t>
      </w:r>
      <w:r w:rsidR="008E339B">
        <w:rPr>
          <w:highlight w:val="yellow"/>
        </w:rPr>
        <w:t xml:space="preserve"> the technology gets,</w:t>
      </w:r>
      <w:r w:rsidR="00425B6B">
        <w:rPr>
          <w:highlight w:val="yellow"/>
        </w:rPr>
        <w:t xml:space="preserve"> it still requires skilled </w:t>
      </w:r>
      <w:proofErr w:type="spellStart"/>
      <w:r w:rsidR="00425B6B">
        <w:rPr>
          <w:highlight w:val="yellow"/>
        </w:rPr>
        <w:t>labour</w:t>
      </w:r>
      <w:proofErr w:type="spellEnd"/>
      <w:r w:rsidR="00425B6B">
        <w:rPr>
          <w:highlight w:val="yellow"/>
        </w:rPr>
        <w:t xml:space="preserve"> force to monitor the</w:t>
      </w:r>
      <w:r w:rsidR="00474E85">
        <w:rPr>
          <w:highlight w:val="yellow"/>
        </w:rPr>
        <w:t xml:space="preserve"> system</w:t>
      </w:r>
      <w:r w:rsidR="00425B6B">
        <w:rPr>
          <w:highlight w:val="yellow"/>
        </w:rPr>
        <w:t xml:space="preserve"> and to en</w:t>
      </w:r>
      <w:r w:rsidR="00474E85">
        <w:rPr>
          <w:highlight w:val="yellow"/>
        </w:rPr>
        <w:t>s</w:t>
      </w:r>
      <w:r w:rsidR="00425B6B">
        <w:rPr>
          <w:highlight w:val="yellow"/>
        </w:rPr>
        <w:t>ure there are no flaws in the production unit.</w:t>
      </w:r>
      <w:r w:rsidR="0078759C">
        <w:rPr>
          <w:highlight w:val="yellow"/>
        </w:rPr>
        <w:t xml:space="preserve"> The machineries</w:t>
      </w:r>
      <w:bookmarkStart w:id="0" w:name="_GoBack"/>
      <w:bookmarkEnd w:id="0"/>
      <w:r w:rsidR="0078759C">
        <w:rPr>
          <w:highlight w:val="yellow"/>
        </w:rPr>
        <w:t xml:space="preserve"> do work on their own but still people are needed to keep an eye and also if some fault is seen, they can immediately take actions accordingly. </w:t>
      </w:r>
      <w:r w:rsidR="008E339B">
        <w:rPr>
          <w:highlight w:val="yellow"/>
        </w:rPr>
        <w:t xml:space="preserve"> </w:t>
      </w:r>
      <w:r>
        <w:t xml:space="preserve">Not only this, MRP is also advanced to make full use of the given resources in any process. MRP is a actually a failure for the representatives but a hero of the supervisors.  Employees get frustrated because of MRP because it makes them feel that they are not as useful as the MRP which is the actual hero in the entire process. Only those organization shad made good profits that followed the innovative measures and the techniques of MRP to make their cost less and benefit more </w:t>
      </w:r>
      <w:r>
        <w:rPr>
          <w:color w:val="000000"/>
        </w:rPr>
        <w:t>(</w:t>
      </w:r>
      <w:proofErr w:type="spellStart"/>
      <w:r>
        <w:rPr>
          <w:color w:val="000000"/>
        </w:rPr>
        <w:t>MoldMaking</w:t>
      </w:r>
      <w:proofErr w:type="spellEnd"/>
      <w:r>
        <w:rPr>
          <w:color w:val="000000"/>
        </w:rPr>
        <w:t xml:space="preserve"> Technology, 2017)</w:t>
      </w:r>
      <w:r>
        <w:t>.</w:t>
      </w:r>
    </w:p>
    <w:p w:rsidR="009A5C88" w:rsidRDefault="009A5C88"/>
    <w:p w:rsidR="009A5C88" w:rsidRDefault="00227E23">
      <w:pPr>
        <w:pStyle w:val="Heading1"/>
        <w:pageBreakBefore/>
        <w:numPr>
          <w:ilvl w:val="0"/>
          <w:numId w:val="0"/>
        </w:numPr>
        <w:rPr>
          <w:b w:val="0"/>
          <w:color w:val="000000"/>
        </w:rPr>
      </w:pPr>
      <w:r>
        <w:rPr>
          <w:b w:val="0"/>
          <w:bCs w:val="0"/>
        </w:rPr>
        <w:t>Reference</w:t>
      </w:r>
    </w:p>
    <w:p w:rsidR="009A5C88" w:rsidRDefault="00227E23">
      <w:pPr>
        <w:pStyle w:val="BodyText"/>
        <w:rPr>
          <w:color w:val="000000"/>
        </w:rPr>
      </w:pPr>
      <w:r>
        <w:rPr>
          <w:color w:val="000000"/>
        </w:rPr>
        <w:t xml:space="preserve">Agrawal, A., Minis, I., &amp; </w:t>
      </w:r>
      <w:proofErr w:type="spellStart"/>
      <w:r>
        <w:rPr>
          <w:color w:val="000000"/>
        </w:rPr>
        <w:t>Nagi</w:t>
      </w:r>
      <w:proofErr w:type="spellEnd"/>
      <w:r>
        <w:rPr>
          <w:color w:val="000000"/>
        </w:rPr>
        <w:t xml:space="preserve">, R. (2000). Cycle time reduction by improved MRP-based </w:t>
      </w:r>
      <w:r>
        <w:rPr>
          <w:color w:val="000000"/>
        </w:rPr>
        <w:tab/>
        <w:t xml:space="preserve">production planning. </w:t>
      </w:r>
      <w:r>
        <w:rPr>
          <w:i/>
          <w:color w:val="000000"/>
        </w:rPr>
        <w:t>International Journal of Production Research, 38</w:t>
      </w:r>
      <w:r>
        <w:rPr>
          <w:color w:val="000000"/>
        </w:rPr>
        <w:t xml:space="preserve">(18), 4823-4841. </w:t>
      </w:r>
      <w:r>
        <w:rPr>
          <w:color w:val="000000"/>
        </w:rPr>
        <w:tab/>
        <w:t>doi:10.1080/00207540050205659</w:t>
      </w:r>
    </w:p>
    <w:p w:rsidR="009A5C88" w:rsidRDefault="00227E23">
      <w:pPr>
        <w:pStyle w:val="BodyText"/>
        <w:rPr>
          <w:color w:val="000000"/>
        </w:rPr>
      </w:pPr>
      <w:proofErr w:type="spellStart"/>
      <w:r>
        <w:rPr>
          <w:color w:val="000000"/>
        </w:rPr>
        <w:t>MoldMaking</w:t>
      </w:r>
      <w:proofErr w:type="spellEnd"/>
      <w:r>
        <w:rPr>
          <w:color w:val="000000"/>
        </w:rPr>
        <w:t xml:space="preserve"> Technology (2017). Custom job tracking software to be introduced.(Product Focus: </w:t>
      </w:r>
      <w:r>
        <w:rPr>
          <w:color w:val="000000"/>
        </w:rPr>
        <w:tab/>
        <w:t xml:space="preserve">AMERIMOLD). </w:t>
      </w:r>
      <w:proofErr w:type="spellStart"/>
      <w:r>
        <w:rPr>
          <w:i/>
          <w:color w:val="000000"/>
        </w:rPr>
        <w:t>MoldMaking</w:t>
      </w:r>
      <w:proofErr w:type="spellEnd"/>
      <w:r>
        <w:rPr>
          <w:i/>
          <w:color w:val="000000"/>
        </w:rPr>
        <w:t xml:space="preserve"> Technology, 20</w:t>
      </w:r>
      <w:r>
        <w:rPr>
          <w:color w:val="000000"/>
        </w:rPr>
        <w:t>(6), 1-1. Retrieved from http://eds.a.</w:t>
      </w:r>
    </w:p>
    <w:p w:rsidR="009A5C88" w:rsidRDefault="00227E23">
      <w:pPr>
        <w:pStyle w:val="BodyText"/>
        <w:rPr>
          <w:color w:val="000000"/>
        </w:rPr>
      </w:pPr>
      <w:r>
        <w:rPr>
          <w:color w:val="000000"/>
        </w:rPr>
        <w:tab/>
        <w:t>ebscohost.com.proxy-library.ashford.edu/eds/detail/detail?vid=11&amp;sid=339758fa-3174-</w:t>
      </w:r>
    </w:p>
    <w:p w:rsidR="009A5C88" w:rsidRDefault="00227E23">
      <w:pPr>
        <w:pStyle w:val="BodyText"/>
        <w:rPr>
          <w:color w:val="000000"/>
        </w:rPr>
      </w:pPr>
      <w:r>
        <w:rPr>
          <w:color w:val="000000"/>
        </w:rPr>
        <w:tab/>
        <w:t>4abf-9c76-de832872b747%40sessionmgr4010&amp;bdata=JnNpdGU9ZWRzLWxpdmUm</w:t>
      </w:r>
    </w:p>
    <w:p w:rsidR="009A5C88" w:rsidRDefault="00227E23">
      <w:pPr>
        <w:pStyle w:val="BodyText"/>
        <w:rPr>
          <w:color w:val="000000"/>
        </w:rPr>
      </w:pPr>
      <w:r>
        <w:rPr>
          <w:color w:val="000000"/>
        </w:rPr>
        <w:tab/>
        <w:t>c2NvcGU9c2l0ZQ%3d%3d#AN=edsbig.A497611818&amp;db=</w:t>
      </w:r>
      <w:proofErr w:type="spellStart"/>
      <w:r>
        <w:rPr>
          <w:color w:val="000000"/>
        </w:rPr>
        <w:t>edsbig</w:t>
      </w:r>
      <w:proofErr w:type="spellEnd"/>
    </w:p>
    <w:p w:rsidR="009A5C88" w:rsidRDefault="00227E23">
      <w:pPr>
        <w:pStyle w:val="BodyText"/>
        <w:rPr>
          <w:color w:val="000000"/>
        </w:rPr>
      </w:pPr>
      <w:r>
        <w:rPr>
          <w:color w:val="000000"/>
        </w:rPr>
        <w:t xml:space="preserve">Randall, R. (2006). </w:t>
      </w:r>
      <w:r>
        <w:rPr>
          <w:i/>
          <w:color w:val="000000"/>
        </w:rPr>
        <w:t xml:space="preserve">Creating value with customers [electronic resource] / editor: Robert M. </w:t>
      </w:r>
      <w:r>
        <w:rPr>
          <w:i/>
          <w:color w:val="000000"/>
        </w:rPr>
        <w:tab/>
        <w:t>Randall</w:t>
      </w:r>
      <w:r>
        <w:rPr>
          <w:color w:val="000000"/>
        </w:rPr>
        <w:t>. Bradford, England : Emerald Group Publishing. Retrieved from http://eds.a</w:t>
      </w:r>
    </w:p>
    <w:p w:rsidR="009A5C88" w:rsidRDefault="00227E23">
      <w:pPr>
        <w:pStyle w:val="BodyText"/>
        <w:rPr>
          <w:color w:val="000000"/>
        </w:rPr>
      </w:pPr>
      <w:r>
        <w:rPr>
          <w:color w:val="000000"/>
        </w:rPr>
        <w:tab/>
        <w:t>.ebscohost.com.proxy-library.ashford.edu/eds/detail/detail?vid=13&amp;sid=339758fa-31</w:t>
      </w:r>
    </w:p>
    <w:p w:rsidR="009A5C88" w:rsidRDefault="00227E23">
      <w:pPr>
        <w:pStyle w:val="BodyText"/>
        <w:rPr>
          <w:color w:val="000000"/>
        </w:rPr>
      </w:pPr>
      <w:r>
        <w:rPr>
          <w:color w:val="000000"/>
        </w:rPr>
        <w:tab/>
        <w:t>74-4abf-9c76-de832872b747%40sessionmgr4010&amp;bdata=JnNpdGU9ZWRzLWxp</w:t>
      </w:r>
    </w:p>
    <w:p w:rsidR="009A5C88" w:rsidRDefault="00227E23">
      <w:pPr>
        <w:pStyle w:val="BodyText"/>
        <w:rPr>
          <w:color w:val="000000"/>
        </w:rPr>
      </w:pPr>
      <w:r>
        <w:rPr>
          <w:color w:val="000000"/>
        </w:rPr>
        <w:tab/>
        <w:t xml:space="preserve">dmUmc2NvcGU9c2l0ZQ%3d%3d#AN=aul.10120702&amp;db=cat02191a </w:t>
      </w:r>
    </w:p>
    <w:p w:rsidR="009A5C88" w:rsidRDefault="00227E23">
      <w:pPr>
        <w:pStyle w:val="BodyText"/>
        <w:rPr>
          <w:color w:val="000000"/>
        </w:rPr>
      </w:pPr>
      <w:r>
        <w:rPr>
          <w:color w:val="000000"/>
        </w:rPr>
        <w:t xml:space="preserve">Tang, J (2015). Employment and Productivity: Exploring the Trade-Off. </w:t>
      </w:r>
      <w:r>
        <w:rPr>
          <w:i/>
          <w:color w:val="000000"/>
        </w:rPr>
        <w:t xml:space="preserve">International </w:t>
      </w:r>
      <w:r>
        <w:rPr>
          <w:i/>
          <w:color w:val="000000"/>
        </w:rPr>
        <w:tab/>
        <w:t>Productivity Monitor, 28</w:t>
      </w:r>
      <w:r>
        <w:rPr>
          <w:color w:val="000000"/>
        </w:rPr>
        <w:t>(1), 63-80. Retrieved from http://eds.a.ebscohost.com.proxy-</w:t>
      </w:r>
      <w:r>
        <w:rPr>
          <w:color w:val="000000"/>
        </w:rPr>
        <w:tab/>
        <w:t>library.ashford.edu/eds/detail/detail?vid=2&amp;sid=339758fa-3174-4abf-9c76-de832</w:t>
      </w:r>
    </w:p>
    <w:p w:rsidR="009A5C88" w:rsidRDefault="00227E23">
      <w:pPr>
        <w:pStyle w:val="BodyText"/>
        <w:rPr>
          <w:color w:val="000000"/>
        </w:rPr>
      </w:pPr>
      <w:r>
        <w:rPr>
          <w:color w:val="000000"/>
        </w:rPr>
        <w:tab/>
        <w:t>872b747%40sessionmgr4010&amp;bdata=JnNpdGU9ZWRzLWxpdmUmc2NvcGU</w:t>
      </w:r>
    </w:p>
    <w:p w:rsidR="009A5C88" w:rsidRDefault="00227E23">
      <w:pPr>
        <w:pStyle w:val="BodyText"/>
        <w:rPr>
          <w:rFonts w:cs="Times New Roman"/>
          <w:color w:val="000000"/>
        </w:rPr>
      </w:pPr>
      <w:r>
        <w:rPr>
          <w:color w:val="000000"/>
        </w:rPr>
        <w:tab/>
        <w:t>9c2l0ZQ%3d%3d#AN=1529220&amp;db=</w:t>
      </w:r>
      <w:proofErr w:type="spellStart"/>
      <w:r>
        <w:rPr>
          <w:color w:val="000000"/>
        </w:rPr>
        <w:t>eoh</w:t>
      </w:r>
      <w:proofErr w:type="spellEnd"/>
    </w:p>
    <w:p w:rsidR="009A5C88" w:rsidRDefault="00227E23">
      <w:pPr>
        <w:pStyle w:val="BodyText"/>
        <w:spacing w:after="0"/>
        <w:ind w:left="720" w:hanging="720"/>
        <w:rPr>
          <w:color w:val="000000"/>
        </w:rPr>
      </w:pPr>
      <w:proofErr w:type="spellStart"/>
      <w:r>
        <w:rPr>
          <w:rFonts w:cs="Times New Roman"/>
          <w:color w:val="000000"/>
        </w:rPr>
        <w:t>Vonderembse</w:t>
      </w:r>
      <w:proofErr w:type="spellEnd"/>
      <w:r>
        <w:rPr>
          <w:rFonts w:cs="Times New Roman"/>
          <w:color w:val="000000"/>
        </w:rPr>
        <w:t xml:space="preserve">, M. A., &amp; White, G. P. (2013). </w:t>
      </w:r>
      <w:r>
        <w:rPr>
          <w:rStyle w:val="Emphasis"/>
          <w:rFonts w:cs="Times New Roman"/>
          <w:color w:val="000000"/>
        </w:rPr>
        <w:t xml:space="preserve">Operations management </w:t>
      </w:r>
      <w:r>
        <w:rPr>
          <w:rFonts w:cs="Times New Roman"/>
          <w:color w:val="000000"/>
        </w:rPr>
        <w:t xml:space="preserve">[Electronic version]. Retrieved from </w:t>
      </w:r>
      <w:hyperlink r:id="rId13" w:history="1">
        <w:r>
          <w:rPr>
            <w:rStyle w:val="Hyperlink"/>
            <w:rFonts w:cs="Times New Roman"/>
            <w:color w:val="000000"/>
            <w:u w:val="none"/>
          </w:rPr>
          <w:t>https://content.ashford.edu/</w:t>
        </w:r>
      </w:hyperlink>
    </w:p>
    <w:p w:rsidR="009A5C88" w:rsidRDefault="00227E23">
      <w:pPr>
        <w:pStyle w:val="BodyText"/>
        <w:spacing w:after="0"/>
        <w:ind w:left="720" w:hanging="720"/>
        <w:rPr>
          <w:color w:val="000000"/>
        </w:rPr>
      </w:pPr>
      <w:r>
        <w:rPr>
          <w:color w:val="000000"/>
        </w:rPr>
        <w:t xml:space="preserve">Zhou, L., &amp; </w:t>
      </w:r>
      <w:bookmarkStart w:id="1" w:name="linkGrubbstromR.W.RobertW."/>
      <w:bookmarkEnd w:id="1"/>
      <w:proofErr w:type="spellStart"/>
      <w:r>
        <w:rPr>
          <w:color w:val="000000"/>
        </w:rPr>
        <w:t>Grubbstrom</w:t>
      </w:r>
      <w:proofErr w:type="spellEnd"/>
      <w:r>
        <w:rPr>
          <w:color w:val="000000"/>
        </w:rPr>
        <w:t xml:space="preserve">, R.W. (2004). Analysis of the effect of commonality in multi-level inventory systems applying MRP theory. </w:t>
      </w:r>
      <w:r>
        <w:rPr>
          <w:i/>
          <w:color w:val="000000"/>
        </w:rPr>
        <w:t>International Journal of Production Economics, 90</w:t>
      </w:r>
      <w:r>
        <w:rPr>
          <w:color w:val="000000"/>
        </w:rPr>
        <w:t>(2), 184-232. Retrieved from https://id eas.repec.org/a/eee/proeco/v90y</w:t>
      </w:r>
    </w:p>
    <w:p w:rsidR="00227E23" w:rsidRDefault="00227E23">
      <w:pPr>
        <w:pStyle w:val="BodyText"/>
        <w:spacing w:after="0"/>
        <w:ind w:left="720" w:hanging="720"/>
      </w:pPr>
      <w:r>
        <w:rPr>
          <w:color w:val="000000"/>
        </w:rPr>
        <w:tab/>
        <w:t xml:space="preserve">2004i2p251-263.html </w:t>
      </w:r>
    </w:p>
    <w:sectPr w:rsidR="00227E2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E23" w:rsidRDefault="00227E23">
      <w:pPr>
        <w:spacing w:line="240" w:lineRule="auto"/>
      </w:pPr>
      <w:r>
        <w:separator/>
      </w:r>
    </w:p>
  </w:endnote>
  <w:endnote w:type="continuationSeparator" w:id="0">
    <w:p w:rsidR="00227E23" w:rsidRDefault="00227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Syriac Estrangela"/>
    <w:panose1 w:val="02020603050405020304"/>
    <w:charset w:val="00"/>
    <w:family w:val="roman"/>
    <w:pitch w:val="variable"/>
    <w:sig w:usb0="00000003" w:usb1="00000000" w:usb2="00000000" w:usb3="00000000" w:csb0="00000001" w:csb1="00000000"/>
  </w:font>
  <w:font w:name="SimSun">
    <w:altName w:val="Noto Sans Syriac Estrangela"/>
    <w:panose1 w:val="02010600030101010101"/>
    <w:charset w:val="86"/>
    <w:family w:val="auto"/>
    <w:pitch w:val="variable"/>
    <w:sig w:usb0="00000000" w:usb1="080E0000" w:usb2="00000010" w:usb3="00000000" w:csb0="00040000" w:csb1="00000000"/>
  </w:font>
  <w:font w:name="font126">
    <w:charset w:val="00"/>
    <w:family w:val="auto"/>
    <w:pitch w:val="variable"/>
  </w:font>
  <w:font w:name="Symbol">
    <w:panose1 w:val="05050102010706020507"/>
    <w:charset w:val="02"/>
    <w:family w:val="decorative"/>
    <w:pitch w:val="variable"/>
    <w:sig w:usb0="00000000" w:usb1="10000000" w:usb2="00000000" w:usb3="00000000" w:csb0="80000000" w:csb1="00000000"/>
  </w:font>
  <w:font w:name="OpenSymbol">
    <w:altName w:val="Arial Unicode MS"/>
    <w:charset w:val="80"/>
    <w:family w:val="auto"/>
    <w:pitch w:val="default"/>
  </w:font>
  <w:font w:name="Segoe UI">
    <w:charset w:val="00"/>
    <w:family w:val="roman"/>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00"/>
    <w:family w:val="auto"/>
    <w:pitch w:val="variable"/>
  </w:font>
  <w:font w:name="Lucida Sans">
    <w:panose1 w:val="020B0602030504020204"/>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E23" w:rsidRDefault="00227E23">
      <w:pPr>
        <w:spacing w:line="240" w:lineRule="auto"/>
      </w:pPr>
      <w:r>
        <w:separator/>
      </w:r>
    </w:p>
  </w:footnote>
  <w:footnote w:type="continuationSeparator" w:id="0">
    <w:p w:rsidR="00227E23" w:rsidRDefault="00227E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227E23">
    <w:pPr>
      <w:pStyle w:val="Header"/>
    </w:pPr>
    <w:r>
      <w:t xml:space="preserve">Running head: SPACE AGE FURNITURE                                                                                    </w:t>
    </w:r>
    <w:r>
      <w:fldChar w:fldCharType="begin"/>
    </w:r>
    <w:r>
      <w:instrText xml:space="preserve"> PAGE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227E23">
    <w:pPr>
      <w:pStyle w:val="Header"/>
    </w:pPr>
    <w:r>
      <w:t xml:space="preserve">SPACE AGE FURNITURE                                                                                                          </w:t>
    </w:r>
    <w:r>
      <w:fldChar w:fldCharType="begin"/>
    </w:r>
    <w:r>
      <w:instrText xml:space="preserve"> PAGE </w:instrText>
    </w:r>
    <w:r>
      <w:fldChar w:fldCharType="separate"/>
    </w:r>
    <w: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88" w:rsidRDefault="009A5C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1800"/>
        </w:tabs>
        <w:ind w:left="1800" w:firstLine="0"/>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ListNumber1"/>
      <w:lvlText w:val="%1."/>
      <w:lvlJc w:val="left"/>
      <w:pPr>
        <w:tabs>
          <w:tab w:val="num" w:pos="1800"/>
        </w:tabs>
        <w:ind w:left="180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1F"/>
    <w:rsid w:val="00032D20"/>
    <w:rsid w:val="00067FD3"/>
    <w:rsid w:val="000F17DD"/>
    <w:rsid w:val="0017750C"/>
    <w:rsid w:val="001D0C67"/>
    <w:rsid w:val="00227E23"/>
    <w:rsid w:val="00273562"/>
    <w:rsid w:val="00282BE6"/>
    <w:rsid w:val="00375F9D"/>
    <w:rsid w:val="00392C1F"/>
    <w:rsid w:val="003D2E52"/>
    <w:rsid w:val="00425B6B"/>
    <w:rsid w:val="00474E85"/>
    <w:rsid w:val="004B3C1A"/>
    <w:rsid w:val="005106DD"/>
    <w:rsid w:val="005F0EB6"/>
    <w:rsid w:val="005F36F7"/>
    <w:rsid w:val="00605BA2"/>
    <w:rsid w:val="0078759C"/>
    <w:rsid w:val="00793BFE"/>
    <w:rsid w:val="00804E71"/>
    <w:rsid w:val="00810967"/>
    <w:rsid w:val="008D54D4"/>
    <w:rsid w:val="008E339B"/>
    <w:rsid w:val="009258F6"/>
    <w:rsid w:val="009623EA"/>
    <w:rsid w:val="009A5C88"/>
    <w:rsid w:val="009F03B6"/>
    <w:rsid w:val="009F7D41"/>
    <w:rsid w:val="00AD393F"/>
    <w:rsid w:val="00B15844"/>
    <w:rsid w:val="00B64F84"/>
    <w:rsid w:val="00B74376"/>
    <w:rsid w:val="00BD3BA1"/>
    <w:rsid w:val="00C81C32"/>
    <w:rsid w:val="00C87746"/>
    <w:rsid w:val="00CA3152"/>
    <w:rsid w:val="00D23063"/>
    <w:rsid w:val="00D237CB"/>
    <w:rsid w:val="00D53C39"/>
    <w:rsid w:val="00D564C7"/>
    <w:rsid w:val="00DB0615"/>
    <w:rsid w:val="00F65681"/>
    <w:rsid w:val="00F9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36329AC1"/>
  <w15:chartTrackingRefBased/>
  <w15:docId w15:val="{4795201F-27F4-304B-A9AA-8189815C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480" w:lineRule="auto"/>
      <w:ind w:firstLine="720"/>
    </w:pPr>
    <w:rPr>
      <w:rFonts w:eastAsia="SimSun" w:cs="font126"/>
      <w:sz w:val="24"/>
      <w:szCs w:val="24"/>
      <w:lang w:val="en-US" w:eastAsia="ar-SA"/>
    </w:rPr>
  </w:style>
  <w:style w:type="paragraph" w:styleId="Heading1">
    <w:name w:val="heading 1"/>
    <w:basedOn w:val="Normal"/>
    <w:next w:val="BodyText"/>
    <w:qFormat/>
    <w:pPr>
      <w:keepNext/>
      <w:keepLines/>
      <w:numPr>
        <w:numId w:val="1"/>
      </w:numPr>
      <w:ind w:left="0"/>
      <w:jc w:val="center"/>
      <w:outlineLvl w:val="0"/>
    </w:pPr>
    <w:rPr>
      <w:b/>
      <w:bCs/>
    </w:rPr>
  </w:style>
  <w:style w:type="paragraph" w:styleId="Heading2">
    <w:name w:val="heading 2"/>
    <w:basedOn w:val="Normal"/>
    <w:next w:val="BodyText"/>
    <w:qFormat/>
    <w:pPr>
      <w:keepNext/>
      <w:keepLines/>
      <w:numPr>
        <w:ilvl w:val="1"/>
        <w:numId w:val="1"/>
      </w:numPr>
      <w:ind w:left="0" w:firstLine="0"/>
      <w:outlineLvl w:val="1"/>
    </w:pPr>
    <w:rPr>
      <w:b/>
      <w:bCs/>
    </w:rPr>
  </w:style>
  <w:style w:type="paragraph" w:styleId="Heading3">
    <w:name w:val="heading 3"/>
    <w:basedOn w:val="Normal"/>
    <w:next w:val="BodyText"/>
    <w:qFormat/>
    <w:pPr>
      <w:keepNext/>
      <w:keepLines/>
      <w:numPr>
        <w:ilvl w:val="2"/>
        <w:numId w:val="1"/>
      </w:numPr>
      <w:outlineLvl w:val="2"/>
    </w:pPr>
    <w:rPr>
      <w:b/>
      <w:bCs/>
    </w:rPr>
  </w:style>
  <w:style w:type="paragraph" w:styleId="Heading4">
    <w:name w:val="heading 4"/>
    <w:basedOn w:val="Normal"/>
    <w:next w:val="BodyText"/>
    <w:qFormat/>
    <w:pPr>
      <w:keepNext/>
      <w:keepLines/>
      <w:numPr>
        <w:ilvl w:val="3"/>
        <w:numId w:val="1"/>
      </w:numPr>
      <w:outlineLvl w:val="3"/>
    </w:pPr>
    <w:rPr>
      <w:b/>
      <w:bCs/>
      <w:i/>
      <w:iCs/>
    </w:rPr>
  </w:style>
  <w:style w:type="paragraph" w:styleId="Heading5">
    <w:name w:val="heading 5"/>
    <w:basedOn w:val="Normal"/>
    <w:next w:val="BodyText"/>
    <w:qFormat/>
    <w:pPr>
      <w:keepNext/>
      <w:keepLines/>
      <w:numPr>
        <w:ilvl w:val="4"/>
        <w:numId w:val="1"/>
      </w:numPr>
      <w:outlineLvl w:val="4"/>
    </w:pPr>
    <w:rPr>
      <w:i/>
      <w:iCs/>
    </w:rPr>
  </w:style>
  <w:style w:type="paragraph" w:styleId="Heading6">
    <w:name w:val="heading 6"/>
    <w:basedOn w:val="Normal"/>
    <w:next w:val="BodyText"/>
    <w:qFormat/>
    <w:pPr>
      <w:keepNext/>
      <w:keepLines/>
      <w:numPr>
        <w:ilvl w:val="5"/>
        <w:numId w:val="1"/>
      </w:numPr>
      <w:spacing w:before="40"/>
      <w:ind w:left="0" w:firstLine="0"/>
      <w:outlineLvl w:val="5"/>
    </w:pPr>
    <w:rPr>
      <w:color w:val="6E6E6E"/>
    </w:rPr>
  </w:style>
  <w:style w:type="paragraph" w:styleId="Heading7">
    <w:name w:val="heading 7"/>
    <w:basedOn w:val="Normal"/>
    <w:next w:val="BodyText"/>
    <w:qFormat/>
    <w:pPr>
      <w:keepNext/>
      <w:keepLines/>
      <w:numPr>
        <w:ilvl w:val="6"/>
        <w:numId w:val="1"/>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1"/>
      </w:numPr>
      <w:spacing w:before="40"/>
      <w:ind w:left="0" w:firstLine="0"/>
      <w:outlineLvl w:val="7"/>
    </w:pPr>
    <w:rPr>
      <w:color w:val="272727"/>
      <w:sz w:val="22"/>
      <w:szCs w:val="21"/>
    </w:rPr>
  </w:style>
  <w:style w:type="paragraph" w:styleId="Heading9">
    <w:name w:val="heading 9"/>
    <w:basedOn w:val="Normal"/>
    <w:next w:val="BodyText"/>
    <w:qFormat/>
    <w:pPr>
      <w:keepNext/>
      <w:keepLines/>
      <w:numPr>
        <w:ilvl w:val="8"/>
        <w:numId w:val="1"/>
      </w:numPr>
      <w:spacing w:before="40"/>
      <w:ind w:left="0" w:firstLine="0"/>
      <w:outlineLvl w:val="8"/>
    </w:pPr>
    <w:rPr>
      <w:i/>
      <w:iCs/>
      <w:color w:val="272727"/>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DefaultParagraphFont1">
    <w:name w:val="Default Paragraph Font1"/>
  </w:style>
  <w:style w:type="character" w:customStyle="1" w:styleId="HeaderChar">
    <w:name w:val="Header Char"/>
    <w:basedOn w:val="DefaultParagraphFont1"/>
    <w:rPr>
      <w:kern w:val="1"/>
    </w:rPr>
  </w:style>
  <w:style w:type="character" w:styleId="PlaceholderText">
    <w:name w:val="Placeholder Text"/>
    <w:basedOn w:val="DefaultParagraphFont1"/>
    <w:rPr>
      <w:color w:val="707070"/>
    </w:rPr>
  </w:style>
  <w:style w:type="character" w:customStyle="1" w:styleId="Heading1Char">
    <w:name w:val="Heading 1 Char"/>
    <w:basedOn w:val="DefaultParagraphFont1"/>
    <w:rPr>
      <w:rFonts w:ascii="Times New Roman" w:hAnsi="Times New Roman" w:cs="font126"/>
      <w:b/>
      <w:bCs/>
      <w:kern w:val="1"/>
    </w:rPr>
  </w:style>
  <w:style w:type="character" w:customStyle="1" w:styleId="Heading2Char">
    <w:name w:val="Heading 2 Char"/>
    <w:basedOn w:val="DefaultParagraphFont1"/>
    <w:rPr>
      <w:rFonts w:ascii="Times New Roman" w:hAnsi="Times New Roman" w:cs="font126"/>
      <w:b/>
      <w:bCs/>
      <w:kern w:val="1"/>
    </w:rPr>
  </w:style>
  <w:style w:type="character" w:customStyle="1" w:styleId="TitleChar">
    <w:name w:val="Title Char"/>
    <w:basedOn w:val="DefaultParagraphFont1"/>
    <w:rPr>
      <w:rFonts w:ascii="Times New Roman" w:hAnsi="Times New Roman" w:cs="font126"/>
    </w:rPr>
  </w:style>
  <w:style w:type="character" w:styleId="Emphasis">
    <w:name w:val="Emphasis"/>
    <w:basedOn w:val="DefaultParagraphFont1"/>
    <w:qFormat/>
    <w:rPr>
      <w:i/>
      <w:iCs/>
    </w:rPr>
  </w:style>
  <w:style w:type="character" w:customStyle="1" w:styleId="Heading3Char">
    <w:name w:val="Heading 3 Char"/>
    <w:basedOn w:val="DefaultParagraphFont1"/>
    <w:rPr>
      <w:rFonts w:ascii="Times New Roman" w:hAnsi="Times New Roman" w:cs="font126"/>
      <w:b/>
      <w:bCs/>
      <w:kern w:val="1"/>
    </w:rPr>
  </w:style>
  <w:style w:type="character" w:customStyle="1" w:styleId="Heading4Char">
    <w:name w:val="Heading 4 Char"/>
    <w:basedOn w:val="DefaultParagraphFont1"/>
    <w:rPr>
      <w:rFonts w:ascii="Times New Roman" w:hAnsi="Times New Roman" w:cs="font126"/>
      <w:b/>
      <w:bCs/>
      <w:i/>
      <w:iCs/>
      <w:kern w:val="1"/>
    </w:rPr>
  </w:style>
  <w:style w:type="character" w:customStyle="1" w:styleId="Heading5Char">
    <w:name w:val="Heading 5 Char"/>
    <w:basedOn w:val="DefaultParagraphFont1"/>
    <w:rPr>
      <w:rFonts w:ascii="Times New Roman" w:hAnsi="Times New Roman" w:cs="font126"/>
      <w:i/>
      <w:iCs/>
      <w:kern w:val="1"/>
    </w:rPr>
  </w:style>
  <w:style w:type="character" w:customStyle="1" w:styleId="BalloonTextChar">
    <w:name w:val="Balloon Text Char"/>
    <w:basedOn w:val="DefaultParagraphFont1"/>
    <w:rPr>
      <w:rFonts w:ascii="Segoe UI" w:hAnsi="Segoe UI" w:cs="Segoe UI"/>
      <w:sz w:val="22"/>
      <w:szCs w:val="18"/>
    </w:rPr>
  </w:style>
  <w:style w:type="character" w:customStyle="1" w:styleId="BodyTextChar">
    <w:name w:val="Body Text Char"/>
    <w:basedOn w:val="DefaultParagraphFont1"/>
    <w:rPr>
      <w:kern w:val="1"/>
    </w:rPr>
  </w:style>
  <w:style w:type="character" w:customStyle="1" w:styleId="BodyText2Char">
    <w:name w:val="Body Text 2 Char"/>
    <w:basedOn w:val="DefaultParagraphFont1"/>
    <w:rPr>
      <w:kern w:val="1"/>
    </w:rPr>
  </w:style>
  <w:style w:type="character" w:customStyle="1" w:styleId="BodyText3Char">
    <w:name w:val="Body Text 3 Char"/>
    <w:basedOn w:val="DefaultParagraphFont1"/>
    <w:rPr>
      <w:sz w:val="22"/>
      <w:szCs w:val="16"/>
    </w:rPr>
  </w:style>
  <w:style w:type="character" w:customStyle="1" w:styleId="BodyTextFirstIndentChar">
    <w:name w:val="Body Text First Indent Char"/>
    <w:basedOn w:val="BodyTextChar"/>
    <w:rPr>
      <w:kern w:val="1"/>
    </w:rPr>
  </w:style>
  <w:style w:type="character" w:customStyle="1" w:styleId="BodyTextIndentChar">
    <w:name w:val="Body Text Indent Char"/>
    <w:basedOn w:val="DefaultParagraphFont1"/>
    <w:rPr>
      <w:kern w:val="1"/>
    </w:rPr>
  </w:style>
  <w:style w:type="character" w:customStyle="1" w:styleId="BodyTextFirstIndent2Char">
    <w:name w:val="Body Text First Indent 2 Char"/>
    <w:basedOn w:val="BodyTextIndentChar"/>
    <w:rPr>
      <w:kern w:val="1"/>
    </w:rPr>
  </w:style>
  <w:style w:type="character" w:customStyle="1" w:styleId="BodyTextIndent2Char">
    <w:name w:val="Body Text Indent 2 Char"/>
    <w:basedOn w:val="DefaultParagraphFont1"/>
    <w:rPr>
      <w:kern w:val="1"/>
    </w:rPr>
  </w:style>
  <w:style w:type="character" w:customStyle="1" w:styleId="BodyTextIndent3Char">
    <w:name w:val="Body Text Indent 3 Char"/>
    <w:basedOn w:val="DefaultParagraphFont1"/>
    <w:rPr>
      <w:sz w:val="22"/>
      <w:szCs w:val="16"/>
    </w:rPr>
  </w:style>
  <w:style w:type="character" w:customStyle="1" w:styleId="ClosingChar">
    <w:name w:val="Closing Char"/>
    <w:basedOn w:val="DefaultParagraphFont1"/>
    <w:rPr>
      <w:kern w:val="1"/>
    </w:rPr>
  </w:style>
  <w:style w:type="character" w:customStyle="1" w:styleId="CommentTextChar">
    <w:name w:val="Comment Text Char"/>
    <w:basedOn w:val="DefaultParagraphFont1"/>
    <w:rPr>
      <w:sz w:val="22"/>
      <w:szCs w:val="20"/>
    </w:rPr>
  </w:style>
  <w:style w:type="character" w:customStyle="1" w:styleId="CommentSubjectChar">
    <w:name w:val="Comment Subject Char"/>
    <w:basedOn w:val="CommentTextChar"/>
    <w:rPr>
      <w:b/>
      <w:bCs/>
      <w:sz w:val="22"/>
      <w:szCs w:val="20"/>
    </w:rPr>
  </w:style>
  <w:style w:type="character" w:customStyle="1" w:styleId="DateChar">
    <w:name w:val="Date Char"/>
    <w:basedOn w:val="DefaultParagraphFont1"/>
    <w:rPr>
      <w:kern w:val="1"/>
    </w:rPr>
  </w:style>
  <w:style w:type="character" w:customStyle="1" w:styleId="DocumentMapChar">
    <w:name w:val="Document Map Char"/>
    <w:basedOn w:val="DefaultParagraphFont1"/>
    <w:rPr>
      <w:rFonts w:ascii="Segoe UI" w:hAnsi="Segoe UI" w:cs="Segoe UI"/>
      <w:sz w:val="22"/>
      <w:szCs w:val="16"/>
    </w:rPr>
  </w:style>
  <w:style w:type="character" w:customStyle="1" w:styleId="E-mailSignatureChar">
    <w:name w:val="E-mail Signature Char"/>
    <w:basedOn w:val="DefaultParagraphFont1"/>
    <w:rPr>
      <w:kern w:val="1"/>
    </w:rPr>
  </w:style>
  <w:style w:type="character" w:customStyle="1" w:styleId="FootnoteTextChar">
    <w:name w:val="Footnote Text Char"/>
    <w:basedOn w:val="DefaultParagraphFont1"/>
    <w:rPr>
      <w:sz w:val="22"/>
      <w:szCs w:val="20"/>
    </w:rPr>
  </w:style>
  <w:style w:type="character" w:customStyle="1" w:styleId="Heading6Char">
    <w:name w:val="Heading 6 Char"/>
    <w:basedOn w:val="DefaultParagraphFont1"/>
    <w:rPr>
      <w:rFonts w:ascii="Times New Roman" w:hAnsi="Times New Roman" w:cs="font126"/>
      <w:color w:val="6E6E6E"/>
      <w:kern w:val="1"/>
    </w:rPr>
  </w:style>
  <w:style w:type="character" w:customStyle="1" w:styleId="Heading7Char">
    <w:name w:val="Heading 7 Char"/>
    <w:basedOn w:val="DefaultParagraphFont1"/>
    <w:rPr>
      <w:rFonts w:ascii="Times New Roman" w:hAnsi="Times New Roman" w:cs="font126"/>
      <w:i/>
      <w:iCs/>
      <w:color w:val="6E6E6E"/>
      <w:kern w:val="1"/>
    </w:rPr>
  </w:style>
  <w:style w:type="character" w:customStyle="1" w:styleId="Heading8Char">
    <w:name w:val="Heading 8 Char"/>
    <w:basedOn w:val="DefaultParagraphFont1"/>
    <w:rPr>
      <w:rFonts w:ascii="Times New Roman" w:hAnsi="Times New Roman" w:cs="font126"/>
      <w:color w:val="272727"/>
      <w:sz w:val="22"/>
      <w:szCs w:val="21"/>
    </w:rPr>
  </w:style>
  <w:style w:type="character" w:customStyle="1" w:styleId="Heading9Char">
    <w:name w:val="Heading 9 Char"/>
    <w:basedOn w:val="DefaultParagraphFont1"/>
    <w:rPr>
      <w:rFonts w:ascii="Times New Roman" w:hAnsi="Times New Roman" w:cs="font126"/>
      <w:i/>
      <w:iCs/>
      <w:color w:val="272727"/>
      <w:sz w:val="22"/>
      <w:szCs w:val="21"/>
    </w:rPr>
  </w:style>
  <w:style w:type="character" w:customStyle="1" w:styleId="HTMLAddressChar">
    <w:name w:val="HTML Address Char"/>
    <w:basedOn w:val="DefaultParagraphFont1"/>
    <w:rPr>
      <w:i/>
      <w:iCs/>
      <w:kern w:val="1"/>
    </w:rPr>
  </w:style>
  <w:style w:type="character" w:customStyle="1" w:styleId="HTMLPreformattedChar">
    <w:name w:val="HTML Preformatted Char"/>
    <w:basedOn w:val="DefaultParagraphFont1"/>
    <w:rPr>
      <w:rFonts w:ascii="Consolas" w:hAnsi="Consolas" w:cs="Consolas"/>
      <w:sz w:val="22"/>
      <w:szCs w:val="20"/>
    </w:rPr>
  </w:style>
  <w:style w:type="character" w:customStyle="1" w:styleId="IntenseQuoteChar">
    <w:name w:val="Intense Quote Char"/>
    <w:basedOn w:val="DefaultParagraphFont1"/>
    <w:rPr>
      <w:i/>
      <w:iCs/>
      <w:color w:val="6E6E6E"/>
    </w:rPr>
  </w:style>
  <w:style w:type="character" w:customStyle="1" w:styleId="MacroTextChar">
    <w:name w:val="Macro Text Char"/>
    <w:basedOn w:val="DefaultParagraphFont1"/>
    <w:rPr>
      <w:rFonts w:ascii="Consolas" w:hAnsi="Consolas" w:cs="Consolas"/>
      <w:kern w:val="1"/>
      <w:sz w:val="22"/>
      <w:szCs w:val="20"/>
    </w:rPr>
  </w:style>
  <w:style w:type="character" w:customStyle="1" w:styleId="MessageHeaderChar">
    <w:name w:val="Message Header Char"/>
    <w:basedOn w:val="DefaultParagraphFont1"/>
    <w:rPr>
      <w:rFonts w:ascii="Times New Roman" w:hAnsi="Times New Roman" w:cs="font126"/>
      <w:kern w:val="1"/>
    </w:rPr>
  </w:style>
  <w:style w:type="character" w:customStyle="1" w:styleId="NoteHeadingChar">
    <w:name w:val="Note Heading Char"/>
    <w:basedOn w:val="DefaultParagraphFont1"/>
    <w:rPr>
      <w:kern w:val="1"/>
    </w:rPr>
  </w:style>
  <w:style w:type="character" w:customStyle="1" w:styleId="PlainTextChar">
    <w:name w:val="Plain Text Char"/>
    <w:basedOn w:val="DefaultParagraphFont1"/>
    <w:rPr>
      <w:rFonts w:ascii="Consolas" w:hAnsi="Consolas" w:cs="Consolas"/>
      <w:sz w:val="22"/>
      <w:szCs w:val="21"/>
    </w:rPr>
  </w:style>
  <w:style w:type="character" w:customStyle="1" w:styleId="QuoteChar">
    <w:name w:val="Quote Char"/>
    <w:basedOn w:val="DefaultParagraphFont1"/>
    <w:rPr>
      <w:i/>
      <w:iCs/>
      <w:color w:val="404040"/>
      <w:kern w:val="1"/>
    </w:rPr>
  </w:style>
  <w:style w:type="character" w:customStyle="1" w:styleId="SalutationChar">
    <w:name w:val="Salutation Char"/>
    <w:basedOn w:val="DefaultParagraphFont1"/>
    <w:rPr>
      <w:kern w:val="1"/>
    </w:rPr>
  </w:style>
  <w:style w:type="character" w:customStyle="1" w:styleId="SignatureChar">
    <w:name w:val="Signature Char"/>
    <w:basedOn w:val="DefaultParagraphFont1"/>
    <w:rPr>
      <w:kern w:val="1"/>
    </w:rPr>
  </w:style>
  <w:style w:type="character" w:customStyle="1" w:styleId="EndnoteReference1">
    <w:name w:val="Endnote Reference1"/>
    <w:basedOn w:val="DefaultParagraphFont1"/>
    <w:rPr>
      <w:vertAlign w:val="superscript"/>
    </w:rPr>
  </w:style>
  <w:style w:type="character" w:customStyle="1" w:styleId="FootnoteReference1">
    <w:name w:val="Footnote Reference1"/>
    <w:basedOn w:val="DefaultParagraphFont1"/>
    <w:rPr>
      <w:vertAlign w:val="superscript"/>
    </w:rPr>
  </w:style>
  <w:style w:type="character" w:customStyle="1" w:styleId="FooterChar">
    <w:name w:val="Footer Char"/>
    <w:basedOn w:val="DefaultParagraphFont1"/>
    <w:rPr>
      <w:kern w:val="1"/>
    </w:rPr>
  </w:style>
  <w:style w:type="character" w:styleId="BookTitle">
    <w:name w:val="Book Title"/>
    <w:basedOn w:val="DefaultParagraphFont1"/>
    <w:qFormat/>
    <w:rPr>
      <w:b/>
      <w:bCs/>
      <w:i/>
      <w:iCs/>
      <w:spacing w:val="5"/>
    </w:rPr>
  </w:style>
  <w:style w:type="character" w:styleId="IntenseEmphasis">
    <w:name w:val="Intense Emphasis"/>
    <w:basedOn w:val="DefaultParagraphFont1"/>
    <w:qFormat/>
    <w:rPr>
      <w:i/>
      <w:iCs/>
      <w:color w:val="6E6E6E"/>
    </w:rPr>
  </w:style>
  <w:style w:type="character" w:styleId="IntenseReference">
    <w:name w:val="Intense Reference"/>
    <w:basedOn w:val="DefaultParagraphFont1"/>
    <w:qFormat/>
    <w:rPr>
      <w:b/>
      <w:bCs/>
      <w:smallCaps/>
      <w:color w:val="6E6E6E"/>
      <w:spacing w:val="5"/>
    </w:rPr>
  </w:style>
  <w:style w:type="character" w:styleId="Strong">
    <w:name w:val="Strong"/>
    <w:basedOn w:val="DefaultParagraphFont1"/>
    <w:qFormat/>
    <w:rPr>
      <w:b/>
      <w:bCs/>
    </w:rPr>
  </w:style>
  <w:style w:type="character" w:customStyle="1" w:styleId="SubtitleChar">
    <w:name w:val="Subtitle Char"/>
    <w:basedOn w:val="DefaultParagraphFont1"/>
    <w:rPr>
      <w:caps/>
      <w:color w:val="000000"/>
      <w:szCs w:val="22"/>
    </w:rPr>
  </w:style>
  <w:style w:type="character" w:styleId="SubtleEmphasis">
    <w:name w:val="Subtle Emphasis"/>
    <w:basedOn w:val="DefaultParagraphFont1"/>
    <w:qFormat/>
    <w:rPr>
      <w:i/>
      <w:iCs/>
      <w:color w:val="404040"/>
    </w:rPr>
  </w:style>
  <w:style w:type="character" w:styleId="SubtleReference">
    <w:name w:val="Subtle Reference"/>
    <w:basedOn w:val="DefaultParagraphFont1"/>
    <w:qFormat/>
    <w:rPr>
      <w:smallCaps/>
      <w:color w:val="5A5A5A"/>
    </w:rPr>
  </w:style>
  <w:style w:type="character" w:customStyle="1" w:styleId="CommentReference1">
    <w:name w:val="Comment Reference1"/>
    <w:basedOn w:val="DefaultParagraphFont1"/>
    <w:rPr>
      <w:sz w:val="22"/>
      <w:szCs w:val="16"/>
    </w:rPr>
  </w:style>
  <w:style w:type="character" w:customStyle="1" w:styleId="EndnoteTextChar">
    <w:name w:val="Endnote Text Char"/>
    <w:basedOn w:val="DefaultParagraphFont1"/>
    <w:rPr>
      <w:sz w:val="22"/>
      <w:szCs w:val="20"/>
    </w:rPr>
  </w:style>
  <w:style w:type="character" w:customStyle="1" w:styleId="FollowedHyperlink1">
    <w:name w:val="FollowedHyperlink1"/>
    <w:basedOn w:val="DefaultParagraphFont1"/>
    <w:rPr>
      <w:color w:val="707070"/>
      <w:u w:val="single"/>
    </w:rPr>
  </w:style>
  <w:style w:type="character" w:styleId="Hashtag">
    <w:name w:val="Hashtag"/>
    <w:basedOn w:val="DefaultParagraphFont1"/>
    <w:rPr>
      <w:color w:val="2B579A"/>
    </w:rPr>
  </w:style>
  <w:style w:type="character" w:styleId="HTMLAcronym">
    <w:name w:val="HTML Acronym"/>
    <w:basedOn w:val="DefaultParagraphFont1"/>
  </w:style>
  <w:style w:type="character" w:styleId="HTMLCite">
    <w:name w:val="HTML Cite"/>
    <w:basedOn w:val="DefaultParagraphFont1"/>
    <w:rPr>
      <w:i/>
      <w:iCs/>
    </w:rPr>
  </w:style>
  <w:style w:type="character" w:styleId="HTMLCode">
    <w:name w:val="HTML Code"/>
    <w:basedOn w:val="DefaultParagraphFont1"/>
    <w:rPr>
      <w:rFonts w:ascii="Consolas" w:hAnsi="Consolas" w:cs="Consolas"/>
      <w:sz w:val="22"/>
      <w:szCs w:val="20"/>
    </w:rPr>
  </w:style>
  <w:style w:type="character" w:styleId="HTMLDefinition">
    <w:name w:val="HTML Definition"/>
    <w:basedOn w:val="DefaultParagraphFont1"/>
    <w:rPr>
      <w:i/>
      <w:iCs/>
    </w:rPr>
  </w:style>
  <w:style w:type="character" w:styleId="HTMLKeyboard">
    <w:name w:val="HTML Keyboard"/>
    <w:basedOn w:val="DefaultParagraphFont1"/>
    <w:rPr>
      <w:rFonts w:ascii="Consolas" w:hAnsi="Consolas" w:cs="Consolas"/>
      <w:sz w:val="22"/>
      <w:szCs w:val="20"/>
    </w:rPr>
  </w:style>
  <w:style w:type="character" w:styleId="HTMLSample">
    <w:name w:val="HTML Sample"/>
    <w:basedOn w:val="DefaultParagraphFont1"/>
    <w:rPr>
      <w:rFonts w:ascii="Consolas" w:hAnsi="Consolas" w:cs="Consolas"/>
      <w:sz w:val="24"/>
      <w:szCs w:val="24"/>
    </w:rPr>
  </w:style>
  <w:style w:type="character" w:styleId="HTMLTypewriter">
    <w:name w:val="HTML Typewriter"/>
    <w:basedOn w:val="DefaultParagraphFont1"/>
    <w:rPr>
      <w:rFonts w:ascii="Consolas" w:hAnsi="Consolas" w:cs="Consolas"/>
      <w:sz w:val="22"/>
      <w:szCs w:val="20"/>
    </w:rPr>
  </w:style>
  <w:style w:type="character" w:styleId="HTMLVariable">
    <w:name w:val="HTML Variable"/>
    <w:basedOn w:val="DefaultParagraphFont1"/>
    <w:rPr>
      <w:i/>
      <w:iCs/>
    </w:rPr>
  </w:style>
  <w:style w:type="character" w:styleId="Hyperlink">
    <w:name w:val="Hyperlink"/>
    <w:basedOn w:val="DefaultParagraphFont1"/>
    <w:rPr>
      <w:color w:val="5F5F5F"/>
      <w:u w:val="single"/>
    </w:rPr>
  </w:style>
  <w:style w:type="character" w:customStyle="1" w:styleId="LineNumber1">
    <w:name w:val="Line Number1"/>
    <w:basedOn w:val="DefaultParagraphFont1"/>
  </w:style>
  <w:style w:type="character" w:styleId="Mention">
    <w:name w:val="Mention"/>
    <w:basedOn w:val="DefaultParagraphFont1"/>
    <w:rPr>
      <w:color w:val="2B579A"/>
    </w:rPr>
  </w:style>
  <w:style w:type="character" w:customStyle="1" w:styleId="PageNumber1">
    <w:name w:val="Page Number1"/>
    <w:basedOn w:val="DefaultParagraphFont1"/>
  </w:style>
  <w:style w:type="character" w:styleId="SmartHyperlink">
    <w:name w:val="Smart Hyperlink"/>
    <w:basedOn w:val="DefaultParagraphFont1"/>
    <w:rPr>
      <w:u w:val="dotted"/>
    </w:rPr>
  </w:style>
  <w:style w:type="character" w:styleId="UnresolvedMention">
    <w:name w:val="Unresolved Mention"/>
    <w:basedOn w:val="DefaultParagraphFont1"/>
    <w:rPr>
      <w:color w:val="595959"/>
    </w:rPr>
  </w:style>
  <w:style w:type="character" w:customStyle="1" w:styleId="Bullets">
    <w:name w:val="Bullets"/>
    <w:rPr>
      <w:rFonts w:ascii="OpenSymbol" w:eastAsia="OpenSymbol" w:hAnsi="OpenSymbol" w:cs="OpenSymbol"/>
    </w:rPr>
  </w:style>
  <w:style w:type="character" w:styleId="FollowedHyperlink">
    <w:name w:val="FollowedHyperlink"/>
    <w:rPr>
      <w:color w:val="707070"/>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Lucida Sans"/>
    </w:rPr>
  </w:style>
  <w:style w:type="paragraph" w:customStyle="1" w:styleId="Caption1">
    <w:name w:val="Caption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ectionTitle">
    <w:name w:val="Section Title"/>
    <w:basedOn w:val="Normal"/>
    <w:pPr>
      <w:pageBreakBefore/>
      <w:ind w:firstLine="0"/>
      <w:jc w:val="center"/>
    </w:p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eastAsia="SimSun" w:cs="font126"/>
      <w:sz w:val="24"/>
      <w:szCs w:val="24"/>
      <w:lang w:val="en-US" w:eastAsia="ar-SA"/>
    </w:rPr>
  </w:style>
  <w:style w:type="paragraph" w:styleId="Title">
    <w:name w:val="Title"/>
    <w:basedOn w:val="Normal"/>
    <w:next w:val="Subtitle"/>
    <w:qFormat/>
    <w:pPr>
      <w:spacing w:before="2400"/>
      <w:ind w:firstLine="0"/>
      <w:jc w:val="center"/>
    </w:pPr>
    <w:rPr>
      <w:b/>
      <w:bCs/>
      <w:sz w:val="36"/>
      <w:szCs w:val="36"/>
    </w:rPr>
  </w:style>
  <w:style w:type="paragraph" w:styleId="Subtitle">
    <w:name w:val="Subtitle"/>
    <w:basedOn w:val="Normal"/>
    <w:next w:val="BodyText"/>
    <w:qFormat/>
    <w:pPr>
      <w:spacing w:line="100" w:lineRule="atLeast"/>
    </w:pPr>
    <w:rPr>
      <w:i/>
      <w:iCs/>
      <w:caps/>
      <w:color w:val="000000"/>
      <w:sz w:val="28"/>
      <w:szCs w:val="22"/>
    </w:rPr>
  </w:style>
  <w:style w:type="paragraph" w:styleId="BalloonText">
    <w:name w:val="Balloon Text"/>
    <w:basedOn w:val="Normal"/>
    <w:pPr>
      <w:spacing w:line="100" w:lineRule="atLeast"/>
      <w:ind w:firstLine="0"/>
    </w:pPr>
    <w:rPr>
      <w:rFonts w:ascii="Segoe UI" w:hAnsi="Segoe UI" w:cs="Segoe UI"/>
      <w:sz w:val="22"/>
      <w:szCs w:val="18"/>
    </w:rPr>
  </w:style>
  <w:style w:type="paragraph" w:styleId="Bibliography">
    <w:name w:val="Bibliography"/>
    <w:basedOn w:val="Normal"/>
    <w:pPr>
      <w:ind w:left="720" w:hanging="720"/>
    </w:pPr>
  </w:style>
  <w:style w:type="paragraph" w:customStyle="1" w:styleId="BlockText1">
    <w:name w:val="Block Text1"/>
    <w:basedOn w:val="Normal"/>
    <w:pPr>
      <w:pBdr>
        <w:top w:val="single" w:sz="1" w:space="10" w:color="808080"/>
        <w:left w:val="single" w:sz="1" w:space="10" w:color="808080"/>
        <w:bottom w:val="single" w:sz="1" w:space="10" w:color="808080"/>
        <w:right w:val="single" w:sz="1" w:space="10" w:color="808080"/>
      </w:pBdr>
      <w:ind w:left="1152" w:right="1152" w:firstLine="0"/>
    </w:pPr>
    <w:rPr>
      <w:i/>
      <w:iCs/>
      <w:color w:val="6E6E6E"/>
    </w:rPr>
  </w:style>
  <w:style w:type="paragraph" w:customStyle="1" w:styleId="BodyText21">
    <w:name w:val="Body Text 21"/>
    <w:basedOn w:val="Normal"/>
    <w:pPr>
      <w:spacing w:after="120"/>
      <w:ind w:firstLine="0"/>
    </w:pPr>
  </w:style>
  <w:style w:type="paragraph" w:customStyle="1" w:styleId="BodyText31">
    <w:name w:val="Body Text 31"/>
    <w:basedOn w:val="Normal"/>
    <w:pPr>
      <w:spacing w:after="120"/>
      <w:ind w:firstLine="0"/>
    </w:pPr>
    <w:rPr>
      <w:sz w:val="22"/>
      <w:szCs w:val="16"/>
    </w:rPr>
  </w:style>
  <w:style w:type="paragraph" w:customStyle="1" w:styleId="BodyTextIndent1">
    <w:name w:val="Body Text Indent1"/>
    <w:basedOn w:val="BodyText"/>
    <w:pPr>
      <w:spacing w:after="0"/>
    </w:pPr>
  </w:style>
  <w:style w:type="paragraph" w:styleId="BodyTextIndent">
    <w:name w:val="Body Text Indent"/>
    <w:basedOn w:val="Normal"/>
    <w:pPr>
      <w:spacing w:after="120"/>
      <w:ind w:left="360" w:firstLine="0"/>
    </w:pPr>
  </w:style>
  <w:style w:type="paragraph" w:customStyle="1" w:styleId="BodyTextFirstIndent21">
    <w:name w:val="Body Text First Indent 21"/>
    <w:basedOn w:val="BodyTextIndent"/>
    <w:pPr>
      <w:spacing w:after="0"/>
    </w:pPr>
  </w:style>
  <w:style w:type="paragraph" w:customStyle="1" w:styleId="BodyTextIndent21">
    <w:name w:val="Body Text Indent 21"/>
    <w:basedOn w:val="Normal"/>
    <w:pPr>
      <w:spacing w:after="120"/>
      <w:ind w:left="360" w:firstLine="0"/>
    </w:pPr>
  </w:style>
  <w:style w:type="paragraph" w:customStyle="1" w:styleId="BodyTextIndent31">
    <w:name w:val="Body Text Indent 31"/>
    <w:basedOn w:val="Normal"/>
    <w:pPr>
      <w:spacing w:after="120"/>
      <w:ind w:left="360" w:firstLine="0"/>
    </w:pPr>
    <w:rPr>
      <w:sz w:val="22"/>
      <w:szCs w:val="16"/>
    </w:rPr>
  </w:style>
  <w:style w:type="paragraph" w:customStyle="1" w:styleId="Caption2">
    <w:name w:val="Caption2"/>
    <w:basedOn w:val="Normal"/>
    <w:pPr>
      <w:spacing w:after="200" w:line="100" w:lineRule="atLeast"/>
      <w:ind w:firstLine="0"/>
    </w:pPr>
    <w:rPr>
      <w:i/>
      <w:iCs/>
      <w:color w:val="000000"/>
      <w:sz w:val="22"/>
      <w:szCs w:val="18"/>
    </w:rPr>
  </w:style>
  <w:style w:type="paragraph" w:customStyle="1" w:styleId="Closing1">
    <w:name w:val="Closing1"/>
    <w:basedOn w:val="Normal"/>
    <w:pPr>
      <w:spacing w:line="100" w:lineRule="atLeast"/>
      <w:ind w:left="4320" w:firstLine="0"/>
    </w:pPr>
  </w:style>
  <w:style w:type="paragraph" w:customStyle="1" w:styleId="CommentText1">
    <w:name w:val="Comment Text1"/>
    <w:basedOn w:val="Normal"/>
    <w:pPr>
      <w:spacing w:line="100" w:lineRule="atLeast"/>
      <w:ind w:firstLine="0"/>
    </w:pPr>
    <w:rPr>
      <w:sz w:val="22"/>
      <w:szCs w:val="20"/>
    </w:rPr>
  </w:style>
  <w:style w:type="paragraph" w:customStyle="1" w:styleId="CommentSubject1">
    <w:name w:val="Comment Subject1"/>
    <w:basedOn w:val="CommentText1"/>
    <w:rPr>
      <w:b/>
      <w:bCs/>
    </w:rPr>
  </w:style>
  <w:style w:type="paragraph" w:customStyle="1" w:styleId="Date1">
    <w:name w:val="Date1"/>
    <w:basedOn w:val="Normal"/>
    <w:pPr>
      <w:ind w:firstLine="0"/>
    </w:pPr>
  </w:style>
  <w:style w:type="paragraph" w:customStyle="1" w:styleId="DocumentMap1">
    <w:name w:val="Document Map1"/>
    <w:basedOn w:val="Normal"/>
    <w:pPr>
      <w:spacing w:line="100" w:lineRule="atLeast"/>
      <w:ind w:firstLine="0"/>
    </w:pPr>
    <w:rPr>
      <w:rFonts w:ascii="Segoe UI" w:hAnsi="Segoe UI" w:cs="Segoe UI"/>
      <w:sz w:val="22"/>
      <w:szCs w:val="16"/>
    </w:rPr>
  </w:style>
  <w:style w:type="paragraph" w:customStyle="1" w:styleId="EmailSignature1">
    <w:name w:val="Email Signature1"/>
    <w:basedOn w:val="Normal"/>
    <w:pPr>
      <w:spacing w:line="100" w:lineRule="atLeast"/>
      <w:ind w:firstLine="0"/>
    </w:pPr>
  </w:style>
  <w:style w:type="paragraph" w:customStyle="1" w:styleId="FootnoteText1">
    <w:name w:val="Footnote Text1"/>
    <w:basedOn w:val="Normal"/>
    <w:pPr>
      <w:spacing w:line="100" w:lineRule="atLeast"/>
      <w:ind w:firstLine="0"/>
    </w:pPr>
    <w:rPr>
      <w:sz w:val="22"/>
      <w:szCs w:val="20"/>
    </w:rPr>
  </w:style>
  <w:style w:type="paragraph" w:customStyle="1" w:styleId="EnvelopeAddress1">
    <w:name w:val="Envelope Address1"/>
    <w:basedOn w:val="Normal"/>
    <w:pPr>
      <w:spacing w:line="100" w:lineRule="atLeast"/>
      <w:ind w:left="2880" w:firstLine="0"/>
    </w:pPr>
  </w:style>
  <w:style w:type="paragraph" w:customStyle="1" w:styleId="EnvelopeReturn1">
    <w:name w:val="Envelope Return1"/>
    <w:basedOn w:val="Normal"/>
    <w:pPr>
      <w:spacing w:line="100" w:lineRule="atLeast"/>
      <w:ind w:firstLine="0"/>
    </w:pPr>
    <w:rPr>
      <w:sz w:val="22"/>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2"/>
      <w:szCs w:val="20"/>
    </w:rPr>
  </w:style>
  <w:style w:type="paragraph" w:customStyle="1" w:styleId="Index11">
    <w:name w:val="Index 11"/>
    <w:basedOn w:val="Normal"/>
    <w:pPr>
      <w:spacing w:line="100" w:lineRule="atLeast"/>
      <w:ind w:left="240" w:firstLine="0"/>
    </w:pPr>
  </w:style>
  <w:style w:type="paragraph" w:customStyle="1" w:styleId="Index21">
    <w:name w:val="Index 21"/>
    <w:basedOn w:val="Normal"/>
    <w:pPr>
      <w:spacing w:line="100" w:lineRule="atLeast"/>
      <w:ind w:left="480" w:firstLine="0"/>
    </w:pPr>
  </w:style>
  <w:style w:type="paragraph" w:customStyle="1" w:styleId="Index31">
    <w:name w:val="Index 31"/>
    <w:basedOn w:val="Normal"/>
    <w:pPr>
      <w:spacing w:line="100" w:lineRule="atLeast"/>
      <w:ind w:left="720" w:firstLine="0"/>
    </w:pPr>
  </w:style>
  <w:style w:type="paragraph" w:customStyle="1" w:styleId="Index41">
    <w:name w:val="Index 41"/>
    <w:basedOn w:val="Normal"/>
    <w:pPr>
      <w:spacing w:line="100" w:lineRule="atLeast"/>
      <w:ind w:left="960" w:firstLine="0"/>
    </w:pPr>
  </w:style>
  <w:style w:type="paragraph" w:customStyle="1" w:styleId="Index51">
    <w:name w:val="Index 51"/>
    <w:basedOn w:val="Normal"/>
    <w:pPr>
      <w:spacing w:line="100" w:lineRule="atLeast"/>
      <w:ind w:left="1200" w:firstLine="0"/>
    </w:pPr>
  </w:style>
  <w:style w:type="paragraph" w:customStyle="1" w:styleId="Index61">
    <w:name w:val="Index 61"/>
    <w:basedOn w:val="Normal"/>
    <w:pPr>
      <w:spacing w:line="100" w:lineRule="atLeast"/>
      <w:ind w:left="1440" w:firstLine="0"/>
    </w:pPr>
  </w:style>
  <w:style w:type="paragraph" w:customStyle="1" w:styleId="Index71">
    <w:name w:val="Index 71"/>
    <w:basedOn w:val="Normal"/>
    <w:pPr>
      <w:spacing w:line="100" w:lineRule="atLeast"/>
      <w:ind w:left="1680" w:firstLine="0"/>
    </w:pPr>
  </w:style>
  <w:style w:type="paragraph" w:customStyle="1" w:styleId="Index81">
    <w:name w:val="Index 81"/>
    <w:basedOn w:val="Normal"/>
    <w:pPr>
      <w:spacing w:line="100" w:lineRule="atLeast"/>
      <w:ind w:left="1920" w:firstLine="0"/>
    </w:pPr>
  </w:style>
  <w:style w:type="paragraph" w:customStyle="1" w:styleId="Index91">
    <w:name w:val="Index 91"/>
    <w:basedOn w:val="Normal"/>
    <w:pPr>
      <w:spacing w:line="100" w:lineRule="atLeast"/>
      <w:ind w:left="2160" w:firstLine="0"/>
    </w:pPr>
  </w:style>
  <w:style w:type="paragraph" w:customStyle="1" w:styleId="IndexHeading1">
    <w:name w:val="Index Heading1"/>
    <w:basedOn w:val="Normal"/>
    <w:pPr>
      <w:ind w:firstLine="0"/>
    </w:pPr>
    <w:rPr>
      <w:b/>
      <w:bCs/>
    </w:rPr>
  </w:style>
  <w:style w:type="paragraph" w:styleId="IntenseQuote">
    <w:name w:val="Intense Quote"/>
    <w:basedOn w:val="Normal"/>
    <w:qFormat/>
    <w:pPr>
      <w:pBdr>
        <w:top w:val="single" w:sz="4" w:space="10" w:color="808080"/>
        <w:bottom w:val="single" w:sz="4" w:space="10" w:color="808080"/>
      </w:pBdr>
      <w:spacing w:before="360" w:after="360"/>
      <w:ind w:left="864" w:right="864" w:firstLine="0"/>
      <w:jc w:val="center"/>
    </w:pPr>
    <w:rPr>
      <w:i/>
      <w:iCs/>
      <w:color w:val="6E6E6E"/>
    </w:rPr>
  </w:style>
  <w:style w:type="paragraph" w:customStyle="1" w:styleId="List21">
    <w:name w:val="List 21"/>
    <w:basedOn w:val="Normal"/>
    <w:pPr>
      <w:spacing w:after="120"/>
      <w:ind w:left="720" w:firstLine="0"/>
    </w:pPr>
  </w:style>
  <w:style w:type="paragraph" w:customStyle="1" w:styleId="List31">
    <w:name w:val="List 31"/>
    <w:basedOn w:val="Normal"/>
    <w:pPr>
      <w:spacing w:after="120"/>
      <w:ind w:left="1080" w:firstLine="0"/>
    </w:pPr>
  </w:style>
  <w:style w:type="paragraph" w:customStyle="1" w:styleId="List41">
    <w:name w:val="List 41"/>
    <w:basedOn w:val="Normal"/>
    <w:pPr>
      <w:spacing w:after="120"/>
      <w:ind w:left="1440" w:firstLine="0"/>
    </w:pPr>
  </w:style>
  <w:style w:type="paragraph" w:customStyle="1" w:styleId="List51">
    <w:name w:val="List 51"/>
    <w:basedOn w:val="Normal"/>
    <w:pPr>
      <w:spacing w:after="120"/>
      <w:ind w:left="1800" w:firstLine="0"/>
    </w:pPr>
  </w:style>
  <w:style w:type="paragraph" w:customStyle="1" w:styleId="ListBullet1">
    <w:name w:val="List Bullet1"/>
    <w:basedOn w:val="Normal"/>
    <w:pPr>
      <w:ind w:firstLine="0"/>
    </w:pPr>
  </w:style>
  <w:style w:type="paragraph" w:customStyle="1" w:styleId="ListBullet21">
    <w:name w:val="List Bullet 21"/>
    <w:basedOn w:val="Normal"/>
    <w:pPr>
      <w:ind w:firstLine="0"/>
    </w:pPr>
  </w:style>
  <w:style w:type="paragraph" w:customStyle="1" w:styleId="ListBullet31">
    <w:name w:val="List Bullet 31"/>
    <w:basedOn w:val="Normal"/>
    <w:pPr>
      <w:ind w:firstLine="0"/>
    </w:pPr>
  </w:style>
  <w:style w:type="paragraph" w:customStyle="1" w:styleId="ListBullet41">
    <w:name w:val="List Bullet 41"/>
    <w:basedOn w:val="Normal"/>
    <w:pPr>
      <w:ind w:firstLine="0"/>
    </w:pPr>
  </w:style>
  <w:style w:type="paragraph" w:customStyle="1" w:styleId="ListBullet51">
    <w:name w:val="List Bullet 51"/>
    <w:basedOn w:val="Normal"/>
    <w:pPr>
      <w:ind w:firstLine="0"/>
    </w:pPr>
  </w:style>
  <w:style w:type="paragraph" w:customStyle="1" w:styleId="ListContinue1">
    <w:name w:val="List Continue1"/>
    <w:basedOn w:val="Normal"/>
    <w:pPr>
      <w:spacing w:after="120"/>
      <w:ind w:left="360" w:firstLine="0"/>
    </w:pPr>
  </w:style>
  <w:style w:type="paragraph" w:customStyle="1" w:styleId="ListContinue21">
    <w:name w:val="List Continue 21"/>
    <w:basedOn w:val="Normal"/>
    <w:pPr>
      <w:spacing w:after="120"/>
      <w:ind w:left="720" w:firstLine="0"/>
    </w:pPr>
  </w:style>
  <w:style w:type="paragraph" w:customStyle="1" w:styleId="ListContinue31">
    <w:name w:val="List Continue 31"/>
    <w:basedOn w:val="Normal"/>
    <w:pPr>
      <w:spacing w:after="120"/>
      <w:ind w:left="1080" w:firstLine="0"/>
    </w:pPr>
  </w:style>
  <w:style w:type="paragraph" w:customStyle="1" w:styleId="ListContinue41">
    <w:name w:val="List Continue 41"/>
    <w:basedOn w:val="Normal"/>
    <w:pPr>
      <w:spacing w:after="120"/>
      <w:ind w:left="1440" w:firstLine="0"/>
    </w:pPr>
  </w:style>
  <w:style w:type="paragraph" w:customStyle="1" w:styleId="ListContinue51">
    <w:name w:val="List Continue 51"/>
    <w:basedOn w:val="Normal"/>
    <w:pPr>
      <w:spacing w:after="120"/>
      <w:ind w:left="1800" w:firstLine="0"/>
    </w:pPr>
  </w:style>
  <w:style w:type="paragraph" w:customStyle="1" w:styleId="ListNumber1">
    <w:name w:val="List Number1"/>
    <w:basedOn w:val="Normal"/>
    <w:pPr>
      <w:numPr>
        <w:numId w:val="2"/>
      </w:numPr>
    </w:pPr>
  </w:style>
  <w:style w:type="paragraph" w:customStyle="1" w:styleId="ListNumber21">
    <w:name w:val="List Number 21"/>
    <w:basedOn w:val="Normal"/>
    <w:pPr>
      <w:tabs>
        <w:tab w:val="num" w:pos="1800"/>
      </w:tabs>
      <w:ind w:firstLine="0"/>
    </w:pPr>
  </w:style>
  <w:style w:type="paragraph" w:customStyle="1" w:styleId="ListNumber31">
    <w:name w:val="List Number 31"/>
    <w:basedOn w:val="Normal"/>
    <w:pPr>
      <w:tabs>
        <w:tab w:val="num" w:pos="1800"/>
      </w:tabs>
      <w:ind w:firstLine="0"/>
    </w:pPr>
  </w:style>
  <w:style w:type="paragraph" w:customStyle="1" w:styleId="ListNumber41">
    <w:name w:val="List Number 41"/>
    <w:basedOn w:val="Normal"/>
    <w:pPr>
      <w:tabs>
        <w:tab w:val="num" w:pos="1800"/>
      </w:tabs>
      <w:ind w:firstLine="0"/>
    </w:pPr>
  </w:style>
  <w:style w:type="paragraph" w:customStyle="1" w:styleId="ListNumber51">
    <w:name w:val="List Number 51"/>
    <w:basedOn w:val="Normal"/>
    <w:pPr>
      <w:tabs>
        <w:tab w:val="num" w:pos="1800"/>
      </w:tabs>
      <w:ind w:firstLine="0"/>
    </w:pPr>
  </w:style>
  <w:style w:type="paragraph" w:styleId="ListParagraph">
    <w:name w:val="List Paragraph"/>
    <w:basedOn w:val="Normal"/>
    <w:qFormat/>
    <w:pPr>
      <w:ind w:left="720" w:firstLine="0"/>
    </w:pPr>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sz w:val="22"/>
      <w:lang w:val="en-US" w:eastAsia="ar-SA"/>
    </w:rPr>
  </w:style>
  <w:style w:type="paragraph" w:customStyle="1" w:styleId="MessageHeader1">
    <w:name w:val="Message Header1"/>
    <w:basedOn w:val="Normal"/>
    <w:pPr>
      <w:pBdr>
        <w:top w:val="single" w:sz="4" w:space="1" w:color="000000"/>
        <w:left w:val="single" w:sz="4" w:space="1" w:color="000000"/>
        <w:bottom w:val="single" w:sz="4" w:space="1" w:color="000000"/>
        <w:right w:val="single" w:sz="4" w:space="1" w:color="000000"/>
      </w:pBdr>
      <w:shd w:val="clear" w:color="auto" w:fill="CCCCCC"/>
      <w:spacing w:line="100" w:lineRule="atLeast"/>
      <w:ind w:left="1080" w:firstLine="0"/>
    </w:pPr>
  </w:style>
  <w:style w:type="paragraph" w:styleId="NormalWeb">
    <w:name w:val="Normal (Web)"/>
    <w:basedOn w:val="Normal"/>
    <w:pPr>
      <w:ind w:firstLine="0"/>
    </w:pPr>
    <w:rPr>
      <w:rFonts w:cs="Times New Roman"/>
    </w:rPr>
  </w:style>
  <w:style w:type="paragraph" w:customStyle="1" w:styleId="NormalIndent1">
    <w:name w:val="Normal Indent1"/>
    <w:basedOn w:val="Normal"/>
    <w:pPr>
      <w:ind w:left="720" w:firstLine="0"/>
    </w:pPr>
  </w:style>
  <w:style w:type="paragraph" w:customStyle="1" w:styleId="NoteHeading1">
    <w:name w:val="Note Heading1"/>
    <w:basedOn w:val="Normal"/>
    <w:pPr>
      <w:spacing w:line="100" w:lineRule="atLeast"/>
      <w:ind w:firstLine="0"/>
    </w:pPr>
  </w:style>
  <w:style w:type="paragraph" w:customStyle="1" w:styleId="PlainText1">
    <w:name w:val="Plain Text1"/>
    <w:basedOn w:val="Normal"/>
    <w:pPr>
      <w:spacing w:line="100" w:lineRule="atLeast"/>
      <w:ind w:firstLine="0"/>
    </w:pPr>
    <w:rPr>
      <w:rFonts w:ascii="Consolas" w:hAnsi="Consolas" w:cs="Consolas"/>
      <w:sz w:val="22"/>
      <w:szCs w:val="21"/>
    </w:rPr>
  </w:style>
  <w:style w:type="paragraph" w:styleId="Quote">
    <w:name w:val="Quote"/>
    <w:basedOn w:val="Normal"/>
    <w:qFormat/>
    <w:pPr>
      <w:spacing w:before="200" w:after="160"/>
      <w:ind w:left="864" w:right="864" w:firstLine="0"/>
      <w:jc w:val="center"/>
    </w:pPr>
    <w:rPr>
      <w:i/>
      <w:iCs/>
      <w:color w:val="404040"/>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1">
    <w:name w:val="Table of Authorities1"/>
    <w:basedOn w:val="Normal"/>
    <w:pPr>
      <w:ind w:left="240" w:firstLine="0"/>
    </w:pPr>
  </w:style>
  <w:style w:type="paragraph" w:customStyle="1" w:styleId="TableofFigures1">
    <w:name w:val="Table of Figures1"/>
    <w:basedOn w:val="Normal"/>
    <w:pPr>
      <w:ind w:firstLine="0"/>
    </w:pPr>
  </w:style>
  <w:style w:type="paragraph" w:customStyle="1" w:styleId="TOAHeading1">
    <w:name w:val="TOA Heading1"/>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paragraph" w:customStyle="1" w:styleId="ContentsHeading">
    <w:name w:val="Contents Heading"/>
    <w:basedOn w:val="Heading1"/>
    <w:pPr>
      <w:numPr>
        <w:numId w:val="0"/>
      </w:numPr>
      <w:suppressLineNumbers/>
      <w:spacing w:before="240"/>
      <w:ind w:firstLine="720"/>
      <w:jc w:val="left"/>
    </w:pPr>
    <w:rPr>
      <w:b w:val="0"/>
      <w:bCs w:val="0"/>
      <w:color w:val="6E6E6E"/>
      <w:sz w:val="32"/>
      <w:szCs w:val="32"/>
    </w:rPr>
  </w:style>
  <w:style w:type="paragraph" w:customStyle="1" w:styleId="EndnoteText1">
    <w:name w:val="Endnote Text1"/>
    <w:basedOn w:val="Normal"/>
    <w:pPr>
      <w:spacing w:line="100" w:lineRule="atLeast"/>
      <w:ind w:firstLine="0"/>
    </w:pPr>
    <w:rPr>
      <w:sz w:val="22"/>
      <w:szCs w:val="20"/>
    </w:rPr>
  </w:style>
  <w:style w:type="paragraph" w:styleId="TOC1">
    <w:name w:val="toc 1"/>
    <w:basedOn w:val="Normal"/>
    <w:pPr>
      <w:tabs>
        <w:tab w:val="right" w:leader="dot" w:pos="9972"/>
      </w:tabs>
      <w:spacing w:after="100"/>
      <w:ind w:firstLine="0"/>
    </w:pPr>
  </w:style>
  <w:style w:type="paragraph" w:styleId="TOC2">
    <w:name w:val="toc 2"/>
    <w:basedOn w:val="Normal"/>
    <w:pPr>
      <w:tabs>
        <w:tab w:val="right" w:leader="dot" w:pos="9689"/>
      </w:tabs>
      <w:spacing w:after="100"/>
      <w:ind w:left="240" w:firstLine="0"/>
    </w:pPr>
  </w:style>
  <w:style w:type="paragraph" w:styleId="TOC3">
    <w:name w:val="toc 3"/>
    <w:basedOn w:val="Normal"/>
    <w:pPr>
      <w:tabs>
        <w:tab w:val="right" w:leader="dot" w:pos="9406"/>
      </w:tabs>
      <w:spacing w:after="100"/>
      <w:ind w:left="480" w:firstLine="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yperlink" Target="https://content.ashford.edu/" TargetMode="External" /><Relationship Id="rId18" Type="http://schemas.openxmlformats.org/officeDocument/2006/relationships/header" Target="header5.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ashford.instructure.com/courses/22132" TargetMode="External" /><Relationship Id="rId12" Type="http://schemas.openxmlformats.org/officeDocument/2006/relationships/footer" Target="foot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header" Target="header4.xml" /><Relationship Id="rId10" Type="http://schemas.openxmlformats.org/officeDocument/2006/relationships/footer" Target="footer2.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3458</Words>
  <Characters>17162</Characters>
  <Application>Microsoft Office Word</Application>
  <DocSecurity>0</DocSecurity>
  <Lines>354</Lines>
  <Paragraphs>143</Paragraphs>
  <ScaleCrop>false</ScaleCrop>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1899-12-31T19:00:00Z</cp:lastPrinted>
  <dcterms:created xsi:type="dcterms:W3CDTF">2018-05-20T17:34:00Z</dcterms:created>
  <dcterms:modified xsi:type="dcterms:W3CDTF">2018-05-20T17:34:00Z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