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FD" w:rsidRPr="004D71BE" w:rsidRDefault="00C263FD" w:rsidP="00923B2D">
      <w:pPr>
        <w:jc w:val="center"/>
        <w:rPr>
          <w:b/>
          <w:bCs/>
          <w:sz w:val="28"/>
          <w:szCs w:val="28"/>
          <w:lang w:val="en-US"/>
        </w:rPr>
      </w:pPr>
      <w:r w:rsidRPr="004D71BE">
        <w:rPr>
          <w:b/>
          <w:bCs/>
          <w:sz w:val="28"/>
          <w:szCs w:val="28"/>
          <w:lang w:val="en-US"/>
        </w:rPr>
        <w:t>SLP 2</w:t>
      </w:r>
    </w:p>
    <w:tbl>
      <w:tblPr>
        <w:tblW w:w="991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957"/>
        <w:gridCol w:w="2410"/>
        <w:gridCol w:w="2976"/>
        <w:gridCol w:w="1276"/>
        <w:gridCol w:w="1276"/>
        <w:gridCol w:w="20"/>
      </w:tblGrid>
      <w:tr w:rsidR="00C263FD" w:rsidTr="00711943">
        <w:trPr>
          <w:gridAfter w:val="1"/>
          <w:wAfter w:w="20" w:type="dxa"/>
        </w:trPr>
        <w:tc>
          <w:tcPr>
            <w:tcW w:w="1957" w:type="dxa"/>
            <w:vAlign w:val="center"/>
            <w:hideMark/>
          </w:tcPr>
          <w:p w:rsidR="00C263FD" w:rsidRDefault="00C263FD">
            <w:pPr>
              <w:pStyle w:val="TableContents"/>
              <w:jc w:val="center"/>
              <w:rPr>
                <w:rStyle w:val="Strong"/>
              </w:rPr>
            </w:pPr>
            <w:r>
              <w:rPr>
                <w:rStyle w:val="Strong"/>
              </w:rPr>
              <w:t>Measurement Model</w:t>
            </w:r>
          </w:p>
        </w:tc>
        <w:tc>
          <w:tcPr>
            <w:tcW w:w="2410" w:type="dxa"/>
            <w:vAlign w:val="center"/>
            <w:hideMark/>
          </w:tcPr>
          <w:p w:rsidR="00C263FD" w:rsidRDefault="00C263FD">
            <w:pPr>
              <w:pStyle w:val="TableContents"/>
              <w:jc w:val="center"/>
              <w:rPr>
                <w:rStyle w:val="Strong"/>
              </w:rPr>
            </w:pPr>
            <w:r>
              <w:rPr>
                <w:rStyle w:val="Strong"/>
              </w:rPr>
              <w:t>Test</w:t>
            </w:r>
          </w:p>
        </w:tc>
        <w:tc>
          <w:tcPr>
            <w:tcW w:w="2976" w:type="dxa"/>
            <w:vAlign w:val="center"/>
            <w:hideMark/>
          </w:tcPr>
          <w:p w:rsidR="00C263FD" w:rsidRDefault="00C263FD">
            <w:pPr>
              <w:pStyle w:val="TableContents"/>
              <w:jc w:val="center"/>
              <w:rPr>
                <w:rStyle w:val="Strong"/>
              </w:rPr>
            </w:pPr>
            <w:r>
              <w:rPr>
                <w:rStyle w:val="Strong"/>
              </w:rPr>
              <w:t>Purpose</w:t>
            </w:r>
          </w:p>
        </w:tc>
        <w:tc>
          <w:tcPr>
            <w:tcW w:w="1276" w:type="dxa"/>
            <w:vAlign w:val="center"/>
            <w:hideMark/>
          </w:tcPr>
          <w:p w:rsidR="00C263FD" w:rsidRDefault="00C263FD">
            <w:pPr>
              <w:pStyle w:val="TableContents"/>
              <w:jc w:val="center"/>
              <w:rPr>
                <w:rStyle w:val="Strong"/>
              </w:rPr>
            </w:pPr>
            <w:r>
              <w:rPr>
                <w:rStyle w:val="Strong"/>
              </w:rPr>
              <w:t>Acceptable Values</w:t>
            </w:r>
          </w:p>
        </w:tc>
        <w:tc>
          <w:tcPr>
            <w:tcW w:w="1276" w:type="dxa"/>
            <w:vAlign w:val="center"/>
            <w:hideMark/>
          </w:tcPr>
          <w:p w:rsidR="00C263FD" w:rsidRDefault="00C263FD">
            <w:pPr>
              <w:pStyle w:val="TableHeading"/>
            </w:pPr>
            <w:r>
              <w:rPr>
                <w:rStyle w:val="Strong"/>
                <w:b/>
                <w:bCs/>
              </w:rPr>
              <w:t>Source</w:t>
            </w:r>
          </w:p>
        </w:tc>
      </w:tr>
      <w:tr w:rsidR="00C263FD" w:rsidRPr="00C263FD" w:rsidTr="00711943">
        <w:trPr>
          <w:gridAfter w:val="1"/>
          <w:wAfter w:w="20" w:type="dxa"/>
        </w:trPr>
        <w:tc>
          <w:tcPr>
            <w:tcW w:w="1957" w:type="dxa"/>
            <w:vAlign w:val="center"/>
            <w:hideMark/>
          </w:tcPr>
          <w:p w:rsidR="00C263FD" w:rsidRPr="00C263FD" w:rsidRDefault="00C263FD">
            <w:pPr>
              <w:pStyle w:val="TableContents"/>
              <w:rPr>
                <w:rStyle w:val="Strong"/>
                <w:b w:val="0"/>
                <w:bCs w:val="0"/>
              </w:rPr>
            </w:pPr>
            <w:proofErr w:type="spellStart"/>
            <w:r w:rsidRPr="00C263FD">
              <w:rPr>
                <w:rStyle w:val="Strong"/>
                <w:b w:val="0"/>
                <w:bCs w:val="0"/>
              </w:rPr>
              <w:t>Unidimensionality</w:t>
            </w:r>
            <w:proofErr w:type="spellEnd"/>
            <w:r w:rsidRPr="00C263FD">
              <w:rPr>
                <w:rStyle w:val="Strong"/>
                <w:b w:val="0"/>
                <w:bCs w:val="0"/>
              </w:rPr>
              <w:t>/ indicator reliability</w:t>
            </w:r>
          </w:p>
        </w:tc>
        <w:tc>
          <w:tcPr>
            <w:tcW w:w="2410" w:type="dxa"/>
            <w:vAlign w:val="center"/>
            <w:hideMark/>
          </w:tcPr>
          <w:p w:rsidR="00C263FD" w:rsidRPr="00C263FD" w:rsidRDefault="00C263FD">
            <w:pPr>
              <w:pStyle w:val="TableContents"/>
            </w:pPr>
            <w:r w:rsidRPr="00C263FD">
              <w:rPr>
                <w:rStyle w:val="Strong"/>
                <w:b w:val="0"/>
                <w:bCs w:val="0"/>
              </w:rPr>
              <w:t>Factor loadings</w:t>
            </w:r>
          </w:p>
        </w:tc>
        <w:tc>
          <w:tcPr>
            <w:tcW w:w="2976" w:type="dxa"/>
            <w:vAlign w:val="center"/>
          </w:tcPr>
          <w:p w:rsidR="00C263FD" w:rsidRPr="00C263FD" w:rsidRDefault="00C72BBE">
            <w:pPr>
              <w:pStyle w:val="TableContents"/>
              <w:snapToGrid w:val="0"/>
            </w:pPr>
            <w:r>
              <w:t>It is used to reduce larger number of variables by using smaller number of factors.</w:t>
            </w:r>
          </w:p>
        </w:tc>
        <w:tc>
          <w:tcPr>
            <w:tcW w:w="1276" w:type="dxa"/>
            <w:vAlign w:val="center"/>
          </w:tcPr>
          <w:p w:rsidR="00C263FD" w:rsidRPr="00C263FD" w:rsidRDefault="00E95222">
            <w:pPr>
              <w:pStyle w:val="TableContents"/>
              <w:snapToGrid w:val="0"/>
            </w:pPr>
            <w:r>
              <w:t>0.5 or greater</w:t>
            </w:r>
          </w:p>
        </w:tc>
        <w:tc>
          <w:tcPr>
            <w:tcW w:w="1276" w:type="dxa"/>
            <w:vAlign w:val="center"/>
          </w:tcPr>
          <w:p w:rsidR="00C263FD" w:rsidRPr="00C263FD" w:rsidRDefault="00E95222">
            <w:pPr>
              <w:pStyle w:val="TableContents"/>
              <w:snapToGrid w:val="0"/>
            </w:pPr>
            <w:proofErr w:type="spellStart"/>
            <w:r>
              <w:t>Hulland</w:t>
            </w:r>
            <w:proofErr w:type="spellEnd"/>
            <w:r>
              <w:t xml:space="preserve"> (1999)</w:t>
            </w:r>
          </w:p>
        </w:tc>
      </w:tr>
      <w:tr w:rsidR="00C263FD" w:rsidRPr="00C263FD" w:rsidTr="00711943">
        <w:trPr>
          <w:gridAfter w:val="1"/>
          <w:wAfter w:w="20" w:type="dxa"/>
        </w:trPr>
        <w:tc>
          <w:tcPr>
            <w:tcW w:w="1957" w:type="dxa"/>
            <w:vAlign w:val="center"/>
            <w:hideMark/>
          </w:tcPr>
          <w:p w:rsidR="00C263FD" w:rsidRPr="00C263FD" w:rsidRDefault="00C263FD">
            <w:pPr>
              <w:pStyle w:val="TableContents"/>
              <w:rPr>
                <w:rStyle w:val="Strong"/>
                <w:b w:val="0"/>
                <w:bCs w:val="0"/>
              </w:rPr>
            </w:pPr>
            <w:r w:rsidRPr="00C263FD">
              <w:rPr>
                <w:rStyle w:val="Strong"/>
                <w:b w:val="0"/>
                <w:bCs w:val="0"/>
              </w:rPr>
              <w:t>Internal consistency reliability</w:t>
            </w:r>
          </w:p>
        </w:tc>
        <w:tc>
          <w:tcPr>
            <w:tcW w:w="2410" w:type="dxa"/>
            <w:vAlign w:val="center"/>
            <w:hideMark/>
          </w:tcPr>
          <w:p w:rsidR="00C263FD" w:rsidRPr="00C263FD" w:rsidRDefault="00C263FD">
            <w:pPr>
              <w:pStyle w:val="TableContents"/>
            </w:pPr>
            <w:proofErr w:type="spellStart"/>
            <w:r w:rsidRPr="00C263FD">
              <w:rPr>
                <w:rStyle w:val="Strong"/>
                <w:b w:val="0"/>
                <w:bCs w:val="0"/>
              </w:rPr>
              <w:t>Cronbach's</w:t>
            </w:r>
            <w:proofErr w:type="spellEnd"/>
            <w:r w:rsidRPr="00C263FD">
              <w:rPr>
                <w:rStyle w:val="Strong"/>
                <w:b w:val="0"/>
                <w:bCs w:val="0"/>
              </w:rPr>
              <w:t xml:space="preserve"> alpha (CA) or Composite reliability (CR)</w:t>
            </w:r>
          </w:p>
        </w:tc>
        <w:tc>
          <w:tcPr>
            <w:tcW w:w="2976" w:type="dxa"/>
            <w:vAlign w:val="center"/>
          </w:tcPr>
          <w:p w:rsidR="00C263FD" w:rsidRPr="00C263FD" w:rsidRDefault="00C72BBE">
            <w:pPr>
              <w:pStyle w:val="TableContents"/>
              <w:snapToGrid w:val="0"/>
            </w:pPr>
            <w:r>
              <w:t>It determines the reliability of a survey items consist of numerous questions</w:t>
            </w:r>
          </w:p>
        </w:tc>
        <w:tc>
          <w:tcPr>
            <w:tcW w:w="1276" w:type="dxa"/>
            <w:vAlign w:val="center"/>
          </w:tcPr>
          <w:p w:rsidR="00C263FD" w:rsidRPr="00C263FD" w:rsidRDefault="00C263FD">
            <w:pPr>
              <w:pStyle w:val="TableContents"/>
              <w:snapToGrid w:val="0"/>
            </w:pPr>
            <w:r>
              <w:t>0.7</w:t>
            </w:r>
            <w:r w:rsidR="00921357">
              <w:t xml:space="preserve"> or greater</w:t>
            </w:r>
          </w:p>
        </w:tc>
        <w:tc>
          <w:tcPr>
            <w:tcW w:w="1276" w:type="dxa"/>
            <w:vAlign w:val="center"/>
          </w:tcPr>
          <w:p w:rsidR="00C263FD" w:rsidRPr="00C263FD" w:rsidRDefault="00921357">
            <w:pPr>
              <w:pStyle w:val="TableContents"/>
              <w:snapToGrid w:val="0"/>
            </w:pPr>
            <w:r>
              <w:t xml:space="preserve">Lee </w:t>
            </w:r>
            <w:proofErr w:type="spellStart"/>
            <w:r w:rsidR="00C263FD">
              <w:t>Cronbach</w:t>
            </w:r>
            <w:proofErr w:type="spellEnd"/>
            <w:r w:rsidR="00C263FD">
              <w:t xml:space="preserve">, </w:t>
            </w:r>
            <w:r>
              <w:t>(</w:t>
            </w:r>
            <w:r w:rsidR="00C263FD">
              <w:t>1951</w:t>
            </w:r>
            <w:r>
              <w:t>)</w:t>
            </w:r>
          </w:p>
        </w:tc>
      </w:tr>
      <w:tr w:rsidR="00C263FD" w:rsidRPr="00C263FD" w:rsidTr="00711943">
        <w:trPr>
          <w:gridAfter w:val="1"/>
          <w:wAfter w:w="20" w:type="dxa"/>
        </w:trPr>
        <w:tc>
          <w:tcPr>
            <w:tcW w:w="1957" w:type="dxa"/>
            <w:vAlign w:val="center"/>
            <w:hideMark/>
          </w:tcPr>
          <w:p w:rsidR="00C263FD" w:rsidRPr="00C263FD" w:rsidRDefault="00C263FD">
            <w:pPr>
              <w:pStyle w:val="TableContents"/>
              <w:rPr>
                <w:rStyle w:val="Strong"/>
                <w:b w:val="0"/>
                <w:bCs w:val="0"/>
              </w:rPr>
            </w:pPr>
            <w:r w:rsidRPr="00C263FD">
              <w:rPr>
                <w:rStyle w:val="Strong"/>
                <w:b w:val="0"/>
                <w:bCs w:val="0"/>
              </w:rPr>
              <w:t>Convergent reliability</w:t>
            </w:r>
          </w:p>
        </w:tc>
        <w:tc>
          <w:tcPr>
            <w:tcW w:w="2410" w:type="dxa"/>
            <w:vAlign w:val="center"/>
            <w:hideMark/>
          </w:tcPr>
          <w:p w:rsidR="00C263FD" w:rsidRPr="00C263FD" w:rsidRDefault="00C263FD">
            <w:pPr>
              <w:pStyle w:val="TableContents"/>
            </w:pPr>
            <w:r w:rsidRPr="00C263FD">
              <w:rPr>
                <w:rStyle w:val="Strong"/>
                <w:b w:val="0"/>
                <w:bCs w:val="0"/>
              </w:rPr>
              <w:t>Average variance extracted (AVE)</w:t>
            </w:r>
          </w:p>
        </w:tc>
        <w:tc>
          <w:tcPr>
            <w:tcW w:w="2976" w:type="dxa"/>
            <w:vAlign w:val="center"/>
          </w:tcPr>
          <w:p w:rsidR="00C263FD" w:rsidRPr="00C263FD" w:rsidRDefault="00684AA0">
            <w:pPr>
              <w:pStyle w:val="TableContents"/>
              <w:snapToGrid w:val="0"/>
            </w:pPr>
            <w:r>
              <w:t>This test is performed to determine the degree of correlation between two constructs.</w:t>
            </w:r>
          </w:p>
        </w:tc>
        <w:tc>
          <w:tcPr>
            <w:tcW w:w="1276" w:type="dxa"/>
            <w:vAlign w:val="center"/>
          </w:tcPr>
          <w:p w:rsidR="00C263FD" w:rsidRPr="00C263FD" w:rsidRDefault="00C263FD">
            <w:pPr>
              <w:pStyle w:val="TableContents"/>
              <w:snapToGrid w:val="0"/>
            </w:pPr>
            <w:r>
              <w:t>0.5 or greater</w:t>
            </w:r>
          </w:p>
        </w:tc>
        <w:tc>
          <w:tcPr>
            <w:tcW w:w="1276" w:type="dxa"/>
            <w:vAlign w:val="center"/>
          </w:tcPr>
          <w:p w:rsidR="00C263FD" w:rsidRPr="00C263FD" w:rsidRDefault="004C6CD0">
            <w:pPr>
              <w:pStyle w:val="TableContents"/>
              <w:snapToGrid w:val="0"/>
            </w:pPr>
            <w:r>
              <w:t>Hair et Al. (2014)</w:t>
            </w:r>
          </w:p>
        </w:tc>
      </w:tr>
      <w:tr w:rsidR="006F0FA1" w:rsidRPr="00C263FD" w:rsidTr="00711943">
        <w:trPr>
          <w:gridAfter w:val="1"/>
          <w:wAfter w:w="20" w:type="dxa"/>
        </w:trPr>
        <w:tc>
          <w:tcPr>
            <w:tcW w:w="1957" w:type="dxa"/>
            <w:vAlign w:val="center"/>
            <w:hideMark/>
          </w:tcPr>
          <w:p w:rsidR="006F0FA1" w:rsidRPr="00C263FD" w:rsidRDefault="006F0FA1">
            <w:pPr>
              <w:pStyle w:val="TableContents"/>
              <w:rPr>
                <w:rStyle w:val="Strong"/>
                <w:b w:val="0"/>
                <w:bCs w:val="0"/>
              </w:rPr>
            </w:pPr>
            <w:proofErr w:type="spellStart"/>
            <w:r w:rsidRPr="00C263FD">
              <w:rPr>
                <w:rStyle w:val="Strong"/>
                <w:b w:val="0"/>
                <w:bCs w:val="0"/>
              </w:rPr>
              <w:t>Discriminant</w:t>
            </w:r>
            <w:proofErr w:type="spellEnd"/>
            <w:r w:rsidRPr="00C263FD">
              <w:rPr>
                <w:rStyle w:val="Strong"/>
                <w:b w:val="0"/>
                <w:bCs w:val="0"/>
              </w:rPr>
              <w:t xml:space="preserve"> validity</w:t>
            </w:r>
          </w:p>
        </w:tc>
        <w:tc>
          <w:tcPr>
            <w:tcW w:w="2410" w:type="dxa"/>
            <w:vAlign w:val="center"/>
            <w:hideMark/>
          </w:tcPr>
          <w:p w:rsidR="006F0FA1" w:rsidRPr="00C263FD" w:rsidRDefault="006F0FA1">
            <w:pPr>
              <w:pStyle w:val="TableContents"/>
            </w:pPr>
            <w:r w:rsidRPr="00C263FD">
              <w:rPr>
                <w:rStyle w:val="Strong"/>
                <w:b w:val="0"/>
                <w:bCs w:val="0"/>
              </w:rPr>
              <w:t>Cross-loadings</w:t>
            </w:r>
          </w:p>
        </w:tc>
        <w:tc>
          <w:tcPr>
            <w:tcW w:w="2976" w:type="dxa"/>
            <w:vMerge w:val="restart"/>
            <w:vAlign w:val="center"/>
          </w:tcPr>
          <w:p w:rsidR="006F0FA1" w:rsidRPr="00C263FD" w:rsidRDefault="006F0FA1">
            <w:pPr>
              <w:pStyle w:val="TableContents"/>
              <w:snapToGrid w:val="0"/>
            </w:pPr>
            <w:proofErr w:type="spellStart"/>
            <w:r>
              <w:t>Discriminant</w:t>
            </w:r>
            <w:proofErr w:type="spellEnd"/>
            <w:r>
              <w:t xml:space="preserve"> validity is how much two theoretically comparative ideas are. This is the correlation test among measures</w:t>
            </w:r>
          </w:p>
        </w:tc>
        <w:tc>
          <w:tcPr>
            <w:tcW w:w="1276" w:type="dxa"/>
            <w:vAlign w:val="center"/>
          </w:tcPr>
          <w:p w:rsidR="006F0FA1" w:rsidRPr="00C263FD" w:rsidRDefault="007B450C">
            <w:pPr>
              <w:pStyle w:val="TableContents"/>
              <w:snapToGrid w:val="0"/>
            </w:pPr>
            <w:r>
              <w:t>0.7</w:t>
            </w:r>
          </w:p>
        </w:tc>
        <w:tc>
          <w:tcPr>
            <w:tcW w:w="1276" w:type="dxa"/>
            <w:vAlign w:val="center"/>
          </w:tcPr>
          <w:p w:rsidR="006F0FA1" w:rsidRPr="00C263FD" w:rsidRDefault="007B450C">
            <w:pPr>
              <w:pStyle w:val="TableContents"/>
              <w:snapToGrid w:val="0"/>
            </w:pPr>
            <w:r>
              <w:t>Hair et Al. (2010)</w:t>
            </w:r>
          </w:p>
        </w:tc>
      </w:tr>
      <w:tr w:rsidR="006F0FA1" w:rsidRPr="00C263FD" w:rsidTr="00711943">
        <w:trPr>
          <w:gridAfter w:val="1"/>
          <w:wAfter w:w="20" w:type="dxa"/>
        </w:trPr>
        <w:tc>
          <w:tcPr>
            <w:tcW w:w="1957" w:type="dxa"/>
            <w:vAlign w:val="center"/>
          </w:tcPr>
          <w:p w:rsidR="006F0FA1" w:rsidRPr="00C263FD" w:rsidRDefault="006F0FA1">
            <w:pPr>
              <w:pStyle w:val="TableContents"/>
              <w:snapToGrid w:val="0"/>
            </w:pPr>
          </w:p>
        </w:tc>
        <w:tc>
          <w:tcPr>
            <w:tcW w:w="2410" w:type="dxa"/>
            <w:vAlign w:val="center"/>
            <w:hideMark/>
          </w:tcPr>
          <w:p w:rsidR="006F0FA1" w:rsidRPr="00C263FD" w:rsidRDefault="006F0FA1">
            <w:pPr>
              <w:pStyle w:val="TableContents"/>
            </w:pPr>
            <w:proofErr w:type="spellStart"/>
            <w:r w:rsidRPr="00C263FD">
              <w:rPr>
                <w:rStyle w:val="Strong"/>
                <w:b w:val="0"/>
                <w:bCs w:val="0"/>
              </w:rPr>
              <w:t>Fornell</w:t>
            </w:r>
            <w:proofErr w:type="spellEnd"/>
            <w:r w:rsidRPr="00C263FD">
              <w:rPr>
                <w:rStyle w:val="Strong"/>
                <w:b w:val="0"/>
                <w:bCs w:val="0"/>
              </w:rPr>
              <w:t>-Larker criterion</w:t>
            </w:r>
          </w:p>
        </w:tc>
        <w:tc>
          <w:tcPr>
            <w:tcW w:w="2976" w:type="dxa"/>
            <w:vMerge/>
            <w:vAlign w:val="center"/>
          </w:tcPr>
          <w:p w:rsidR="006F0FA1" w:rsidRPr="00C263FD" w:rsidRDefault="006F0FA1">
            <w:pPr>
              <w:pStyle w:val="TableContents"/>
              <w:snapToGrid w:val="0"/>
            </w:pPr>
          </w:p>
        </w:tc>
        <w:tc>
          <w:tcPr>
            <w:tcW w:w="1276" w:type="dxa"/>
            <w:vAlign w:val="center"/>
          </w:tcPr>
          <w:p w:rsidR="006F0FA1" w:rsidRPr="00C263FD" w:rsidRDefault="006F0FA1">
            <w:pPr>
              <w:pStyle w:val="TableContents"/>
              <w:snapToGrid w:val="0"/>
            </w:pPr>
            <w:r>
              <w:t>Sq. root of every AVG value is higher than correlation  between any pair of construct</w:t>
            </w:r>
          </w:p>
        </w:tc>
        <w:tc>
          <w:tcPr>
            <w:tcW w:w="1276" w:type="dxa"/>
            <w:vAlign w:val="center"/>
          </w:tcPr>
          <w:p w:rsidR="006F0FA1" w:rsidRPr="00C263FD" w:rsidRDefault="00585611">
            <w:pPr>
              <w:pStyle w:val="TableContents"/>
              <w:snapToGrid w:val="0"/>
            </w:pPr>
            <w:proofErr w:type="spellStart"/>
            <w:r>
              <w:t>Fornell-Larcker</w:t>
            </w:r>
            <w:proofErr w:type="spellEnd"/>
            <w:r>
              <w:t xml:space="preserve"> (1981)</w:t>
            </w:r>
          </w:p>
        </w:tc>
      </w:tr>
      <w:tr w:rsidR="006F0FA1" w:rsidRPr="00C263FD" w:rsidTr="00711943">
        <w:trPr>
          <w:gridAfter w:val="1"/>
          <w:wAfter w:w="20" w:type="dxa"/>
        </w:trPr>
        <w:tc>
          <w:tcPr>
            <w:tcW w:w="1957" w:type="dxa"/>
            <w:vAlign w:val="center"/>
          </w:tcPr>
          <w:p w:rsidR="006F0FA1" w:rsidRPr="00C263FD" w:rsidRDefault="006F0FA1">
            <w:pPr>
              <w:pStyle w:val="TableContents"/>
              <w:snapToGrid w:val="0"/>
            </w:pPr>
          </w:p>
        </w:tc>
        <w:tc>
          <w:tcPr>
            <w:tcW w:w="2410" w:type="dxa"/>
            <w:vAlign w:val="center"/>
            <w:hideMark/>
          </w:tcPr>
          <w:p w:rsidR="006F0FA1" w:rsidRPr="00C263FD" w:rsidRDefault="006F0FA1">
            <w:pPr>
              <w:pStyle w:val="TableContents"/>
            </w:pPr>
            <w:proofErr w:type="spellStart"/>
            <w:r w:rsidRPr="00C263FD">
              <w:rPr>
                <w:rStyle w:val="Strong"/>
                <w:b w:val="0"/>
                <w:bCs w:val="0"/>
              </w:rPr>
              <w:t>Hetertrait</w:t>
            </w:r>
            <w:proofErr w:type="spellEnd"/>
            <w:r w:rsidRPr="00C263FD">
              <w:rPr>
                <w:rStyle w:val="Strong"/>
                <w:b w:val="0"/>
                <w:bCs w:val="0"/>
              </w:rPr>
              <w:t>-mono ratio of correlations (HTMT)</w:t>
            </w:r>
          </w:p>
        </w:tc>
        <w:tc>
          <w:tcPr>
            <w:tcW w:w="2976" w:type="dxa"/>
            <w:vMerge/>
            <w:vAlign w:val="center"/>
          </w:tcPr>
          <w:p w:rsidR="006F0FA1" w:rsidRPr="00C263FD" w:rsidRDefault="006F0FA1">
            <w:pPr>
              <w:pStyle w:val="TableContents"/>
              <w:snapToGrid w:val="0"/>
            </w:pPr>
          </w:p>
        </w:tc>
        <w:tc>
          <w:tcPr>
            <w:tcW w:w="1276" w:type="dxa"/>
            <w:vAlign w:val="center"/>
          </w:tcPr>
          <w:p w:rsidR="006F0FA1" w:rsidRDefault="006F0FA1">
            <w:pPr>
              <w:pStyle w:val="TableContents"/>
              <w:snapToGrid w:val="0"/>
            </w:pPr>
            <w:r>
              <w:t>0.85</w:t>
            </w:r>
          </w:p>
          <w:p w:rsidR="006F0FA1" w:rsidRPr="008A7B62" w:rsidRDefault="006F0FA1">
            <w:pPr>
              <w:pStyle w:val="TableContents"/>
              <w:snapToGrid w:val="0"/>
              <w:rPr>
                <w:lang w:val="en-GB"/>
              </w:rPr>
            </w:pPr>
          </w:p>
          <w:p w:rsidR="006F0FA1" w:rsidRPr="00C263FD" w:rsidRDefault="006F0FA1">
            <w:pPr>
              <w:pStyle w:val="TableContents"/>
              <w:snapToGrid w:val="0"/>
            </w:pPr>
            <w:r>
              <w:t>0.90</w:t>
            </w:r>
          </w:p>
        </w:tc>
        <w:tc>
          <w:tcPr>
            <w:tcW w:w="1276" w:type="dxa"/>
            <w:vAlign w:val="center"/>
          </w:tcPr>
          <w:p w:rsidR="006F0FA1" w:rsidRPr="00C263FD" w:rsidRDefault="006F0FA1">
            <w:pPr>
              <w:pStyle w:val="TableContents"/>
              <w:snapToGrid w:val="0"/>
            </w:pPr>
            <w:r>
              <w:t>Kline (2011), Gold et Al. (2001)</w:t>
            </w:r>
          </w:p>
        </w:tc>
      </w:tr>
      <w:tr w:rsidR="00C263FD" w:rsidRPr="00C263FD" w:rsidTr="00711943">
        <w:tc>
          <w:tcPr>
            <w:tcW w:w="19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63FD" w:rsidRPr="00C263FD" w:rsidRDefault="00C263FD">
            <w:pPr>
              <w:pStyle w:val="TableContents"/>
              <w:jc w:val="center"/>
              <w:rPr>
                <w:rStyle w:val="Strong"/>
              </w:rPr>
            </w:pPr>
            <w:r w:rsidRPr="00C263FD">
              <w:rPr>
                <w:rStyle w:val="Strong"/>
              </w:rPr>
              <w:t>Structural Model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63FD" w:rsidRPr="00C263FD" w:rsidRDefault="00C263FD">
            <w:pPr>
              <w:pStyle w:val="TableContents"/>
              <w:jc w:val="center"/>
              <w:rPr>
                <w:rStyle w:val="Strong"/>
              </w:rPr>
            </w:pPr>
            <w:r w:rsidRPr="00C263FD">
              <w:rPr>
                <w:rStyle w:val="Strong"/>
              </w:rPr>
              <w:t>Test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63FD" w:rsidRPr="00C263FD" w:rsidRDefault="00C263FD">
            <w:pPr>
              <w:pStyle w:val="TableContents"/>
              <w:jc w:val="center"/>
              <w:rPr>
                <w:rStyle w:val="Strong"/>
              </w:rPr>
            </w:pPr>
            <w:r w:rsidRPr="00C263FD">
              <w:rPr>
                <w:rStyle w:val="Strong"/>
              </w:rPr>
              <w:t>Purpose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63FD" w:rsidRPr="00C263FD" w:rsidRDefault="00C263FD">
            <w:pPr>
              <w:pStyle w:val="TableContents"/>
              <w:jc w:val="center"/>
              <w:rPr>
                <w:rStyle w:val="Strong"/>
              </w:rPr>
            </w:pPr>
            <w:r w:rsidRPr="00C263FD">
              <w:rPr>
                <w:rStyle w:val="Strong"/>
              </w:rPr>
              <w:t>Acceptable Values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63FD" w:rsidRPr="00C263FD" w:rsidRDefault="00C263FD">
            <w:pPr>
              <w:pStyle w:val="TableHeading"/>
            </w:pPr>
            <w:r w:rsidRPr="00C263FD">
              <w:rPr>
                <w:rStyle w:val="Strong"/>
                <w:b/>
                <w:bCs/>
              </w:rPr>
              <w:t>Source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63FD" w:rsidRPr="00C263FD" w:rsidRDefault="00C263FD">
            <w:pPr>
              <w:snapToGrid w:val="0"/>
            </w:pPr>
          </w:p>
        </w:tc>
      </w:tr>
      <w:tr w:rsidR="00C263FD" w:rsidRPr="00C263FD" w:rsidTr="00711943">
        <w:tc>
          <w:tcPr>
            <w:tcW w:w="19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63FD" w:rsidRPr="00C263FD" w:rsidRDefault="00C263FD">
            <w:pPr>
              <w:pStyle w:val="TableContents"/>
              <w:rPr>
                <w:rStyle w:val="Strong"/>
                <w:b w:val="0"/>
                <w:bCs w:val="0"/>
              </w:rPr>
            </w:pPr>
            <w:r w:rsidRPr="00C263FD">
              <w:rPr>
                <w:rStyle w:val="Strong"/>
                <w:b w:val="0"/>
                <w:bCs w:val="0"/>
              </w:rPr>
              <w:t>Significance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63FD" w:rsidRPr="00C263FD" w:rsidRDefault="00C263FD">
            <w:pPr>
              <w:pStyle w:val="TableContents"/>
            </w:pPr>
            <w:r w:rsidRPr="00C263FD">
              <w:rPr>
                <w:rStyle w:val="Strong"/>
                <w:b w:val="0"/>
                <w:bCs w:val="0"/>
              </w:rPr>
              <w:t>Probability (p value)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3FD" w:rsidRPr="00C263FD" w:rsidRDefault="00CE139F">
            <w:pPr>
              <w:pStyle w:val="TableContents"/>
              <w:snapToGrid w:val="0"/>
            </w:pPr>
            <w:r>
              <w:t xml:space="preserve">P-value is used as rejection point by providing smallest level of significance on which null hypothesis is rejected.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3FD" w:rsidRPr="00C263FD" w:rsidRDefault="006F0FA1">
            <w:pPr>
              <w:pStyle w:val="TableContents"/>
              <w:snapToGrid w:val="0"/>
            </w:pPr>
            <w:r>
              <w:t>Less than or equal to 0.05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3FD" w:rsidRPr="00C263FD" w:rsidRDefault="006F0FA1">
            <w:pPr>
              <w:pStyle w:val="TableContents"/>
              <w:snapToGrid w:val="0"/>
            </w:pPr>
            <w:r>
              <w:t>Ronald Fisher (1925)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63FD" w:rsidRPr="00C263FD" w:rsidRDefault="00C263FD">
            <w:pPr>
              <w:snapToGrid w:val="0"/>
            </w:pPr>
          </w:p>
        </w:tc>
      </w:tr>
      <w:tr w:rsidR="00C263FD" w:rsidRPr="00C263FD" w:rsidTr="00711943">
        <w:tc>
          <w:tcPr>
            <w:tcW w:w="19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63FD" w:rsidRPr="00C263FD" w:rsidRDefault="00C263FD">
            <w:pPr>
              <w:pStyle w:val="TableContents"/>
              <w:rPr>
                <w:rStyle w:val="Strong"/>
                <w:b w:val="0"/>
                <w:bCs w:val="0"/>
              </w:rPr>
            </w:pPr>
            <w:r w:rsidRPr="00C263FD">
              <w:rPr>
                <w:rStyle w:val="Strong"/>
                <w:b w:val="0"/>
                <w:bCs w:val="0"/>
              </w:rPr>
              <w:t>Significance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63FD" w:rsidRPr="00C263FD" w:rsidRDefault="00C263FD">
            <w:pPr>
              <w:pStyle w:val="TableContents"/>
            </w:pPr>
            <w:r w:rsidRPr="00C263FD">
              <w:rPr>
                <w:rStyle w:val="Strong"/>
                <w:b w:val="0"/>
                <w:bCs w:val="0"/>
              </w:rPr>
              <w:t>t distribution (t value)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3FD" w:rsidRPr="00C263FD" w:rsidRDefault="00CE139F">
            <w:pPr>
              <w:pStyle w:val="TableContents"/>
              <w:snapToGrid w:val="0"/>
            </w:pPr>
            <w:r>
              <w:t xml:space="preserve">The t-value estimates the magnitude of distinction comparative with the variation in the sample data.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3FD" w:rsidRPr="00C263FD" w:rsidRDefault="00C263FD">
            <w:pPr>
              <w:pStyle w:val="TableContents"/>
              <w:snapToGrid w:val="0"/>
            </w:pPr>
            <w:r>
              <w:t>1.96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3FD" w:rsidRPr="00C263FD" w:rsidRDefault="00C263FD">
            <w:pPr>
              <w:pStyle w:val="TableContents"/>
              <w:snapToGrid w:val="0"/>
            </w:pPr>
            <w:r>
              <w:t xml:space="preserve">James et Al. </w:t>
            </w:r>
            <w:r w:rsidR="00921357">
              <w:t>(</w:t>
            </w:r>
            <w:r>
              <w:t>2013</w:t>
            </w:r>
            <w:r w:rsidR="00921357">
              <w:t>)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63FD" w:rsidRPr="00C263FD" w:rsidRDefault="00C263FD">
            <w:pPr>
              <w:snapToGrid w:val="0"/>
            </w:pPr>
          </w:p>
        </w:tc>
      </w:tr>
      <w:tr w:rsidR="00C263FD" w:rsidRPr="00C263FD" w:rsidTr="00711943">
        <w:tc>
          <w:tcPr>
            <w:tcW w:w="19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63FD" w:rsidRPr="00C263FD" w:rsidRDefault="00C263FD">
            <w:pPr>
              <w:pStyle w:val="TableContents"/>
              <w:rPr>
                <w:rStyle w:val="Strong"/>
                <w:b w:val="0"/>
                <w:bCs w:val="0"/>
              </w:rPr>
            </w:pPr>
            <w:r w:rsidRPr="00C263FD">
              <w:rPr>
                <w:rStyle w:val="Strong"/>
                <w:b w:val="0"/>
                <w:bCs w:val="0"/>
              </w:rPr>
              <w:t>Path coefficient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63FD" w:rsidRPr="00C263FD" w:rsidRDefault="00C263FD">
            <w:pPr>
              <w:pStyle w:val="TableContents"/>
            </w:pPr>
            <w:r w:rsidRPr="00C263FD">
              <w:rPr>
                <w:rStyle w:val="Strong"/>
                <w:b w:val="0"/>
                <w:bCs w:val="0"/>
              </w:rPr>
              <w:t>Effect size (</w:t>
            </w:r>
            <w:r w:rsidRPr="00C263FD">
              <w:rPr>
                <w:rStyle w:val="Emphasis"/>
              </w:rPr>
              <w:t>f</w:t>
            </w:r>
            <w:r w:rsidRPr="00C263FD">
              <w:rPr>
                <w:rStyle w:val="Emphasis"/>
                <w:position w:val="8"/>
                <w:sz w:val="19"/>
              </w:rPr>
              <w:t>2</w:t>
            </w:r>
            <w:r w:rsidRPr="00C263FD">
              <w:rPr>
                <w:rStyle w:val="Emphasis"/>
              </w:rPr>
              <w:t>)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3FD" w:rsidRPr="00C263FD" w:rsidRDefault="00CE139F">
            <w:pPr>
              <w:pStyle w:val="TableContents"/>
              <w:snapToGrid w:val="0"/>
            </w:pPr>
            <w:r>
              <w:t xml:space="preserve">Path coefficient is helpful in selecting best fit model through examining causal relationship among variables.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3FD" w:rsidRPr="00C263FD" w:rsidRDefault="004471FD">
            <w:pPr>
              <w:pStyle w:val="TableContents"/>
              <w:snapToGrid w:val="0"/>
            </w:pPr>
            <w:r>
              <w:rPr>
                <w:rFonts w:cs="Times New Roman"/>
              </w:rPr>
              <w:t>˃</w:t>
            </w:r>
            <w:r w:rsidR="00C263FD">
              <w:t>0.02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3FD" w:rsidRPr="00C263FD" w:rsidRDefault="00C263FD">
            <w:pPr>
              <w:pStyle w:val="TableContents"/>
              <w:snapToGrid w:val="0"/>
            </w:pPr>
            <w:r>
              <w:t xml:space="preserve">Cohen </w:t>
            </w:r>
            <w:r w:rsidR="00921357">
              <w:t>(</w:t>
            </w:r>
            <w:r>
              <w:t>1988</w:t>
            </w:r>
            <w:r w:rsidR="00921357">
              <w:t>)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63FD" w:rsidRPr="00C263FD" w:rsidRDefault="00C263FD">
            <w:pPr>
              <w:snapToGrid w:val="0"/>
            </w:pPr>
          </w:p>
        </w:tc>
      </w:tr>
      <w:tr w:rsidR="00C263FD" w:rsidRPr="00C263FD" w:rsidTr="00711943">
        <w:tc>
          <w:tcPr>
            <w:tcW w:w="19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63FD" w:rsidRPr="00C263FD" w:rsidRDefault="00C263FD">
            <w:pPr>
              <w:pStyle w:val="TableContents"/>
              <w:rPr>
                <w:rStyle w:val="Strong"/>
                <w:b w:val="0"/>
                <w:bCs w:val="0"/>
              </w:rPr>
            </w:pPr>
            <w:r w:rsidRPr="00C263FD">
              <w:rPr>
                <w:rStyle w:val="Strong"/>
                <w:b w:val="0"/>
                <w:bCs w:val="0"/>
              </w:rPr>
              <w:t>Explained variance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63FD" w:rsidRPr="00C263FD" w:rsidRDefault="00C263FD">
            <w:pPr>
              <w:pStyle w:val="TableContents"/>
            </w:pPr>
            <w:r w:rsidRPr="00C263FD">
              <w:rPr>
                <w:rStyle w:val="Strong"/>
                <w:b w:val="0"/>
                <w:bCs w:val="0"/>
              </w:rPr>
              <w:t>Squared coefficient of determination (R</w:t>
            </w:r>
            <w:r w:rsidRPr="00C263FD">
              <w:rPr>
                <w:rStyle w:val="Strong"/>
                <w:b w:val="0"/>
                <w:bCs w:val="0"/>
                <w:position w:val="8"/>
                <w:sz w:val="19"/>
              </w:rPr>
              <w:t>2</w:t>
            </w:r>
            <w:r w:rsidRPr="00C263FD">
              <w:rPr>
                <w:rStyle w:val="Strong"/>
                <w:b w:val="0"/>
                <w:bCs w:val="0"/>
              </w:rPr>
              <w:t>)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3FD" w:rsidRPr="00C263FD" w:rsidRDefault="00FE30F4">
            <w:pPr>
              <w:pStyle w:val="TableContents"/>
              <w:snapToGrid w:val="0"/>
            </w:pPr>
            <w:r>
              <w:t>It determines amount of variability in dependent variables caused by independent variables.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3FD" w:rsidRDefault="004471FD">
            <w:pPr>
              <w:pStyle w:val="TableContents"/>
              <w:snapToGrid w:val="0"/>
            </w:pPr>
            <w:r>
              <w:t>&gt;0.5 weak</w:t>
            </w:r>
          </w:p>
          <w:p w:rsidR="004471FD" w:rsidRDefault="004471FD">
            <w:pPr>
              <w:pStyle w:val="TableContents"/>
              <w:snapToGrid w:val="0"/>
            </w:pPr>
            <w:r>
              <w:t>0.5 moderate</w:t>
            </w:r>
          </w:p>
          <w:p w:rsidR="004471FD" w:rsidRPr="00C263FD" w:rsidRDefault="004471FD">
            <w:pPr>
              <w:pStyle w:val="TableContents"/>
              <w:snapToGrid w:val="0"/>
            </w:pPr>
            <w:r>
              <w:t>&gt;0.5 strong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3FD" w:rsidRPr="00C263FD" w:rsidRDefault="004471FD">
            <w:pPr>
              <w:pStyle w:val="TableContents"/>
              <w:snapToGrid w:val="0"/>
            </w:pPr>
            <w:proofErr w:type="spellStart"/>
            <w:r>
              <w:t>Zikmund</w:t>
            </w:r>
            <w:proofErr w:type="spellEnd"/>
            <w:r>
              <w:t xml:space="preserve">, William G </w:t>
            </w:r>
            <w:r w:rsidR="00921357">
              <w:t>(</w:t>
            </w:r>
            <w:r>
              <w:t>2000</w:t>
            </w:r>
            <w:r w:rsidR="00921357">
              <w:t>)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63FD" w:rsidRPr="00C263FD" w:rsidRDefault="00C263FD">
            <w:pPr>
              <w:snapToGrid w:val="0"/>
            </w:pPr>
          </w:p>
        </w:tc>
      </w:tr>
    </w:tbl>
    <w:p w:rsidR="00C263FD" w:rsidRDefault="00C263FD">
      <w:pPr>
        <w:rPr>
          <w:lang w:val="en-US"/>
        </w:rPr>
      </w:pPr>
    </w:p>
    <w:p w:rsidR="004C6CD0" w:rsidRDefault="004C6CD0">
      <w:pPr>
        <w:rPr>
          <w:lang w:val="en-US"/>
        </w:rPr>
      </w:pPr>
    </w:p>
    <w:p w:rsidR="00730DAB" w:rsidRPr="004C6CD0" w:rsidRDefault="00730DAB">
      <w:pPr>
        <w:rPr>
          <w:b/>
          <w:bCs/>
          <w:sz w:val="28"/>
          <w:szCs w:val="28"/>
          <w:lang w:val="en-US"/>
        </w:rPr>
      </w:pPr>
      <w:r w:rsidRPr="004C6CD0">
        <w:rPr>
          <w:b/>
          <w:bCs/>
          <w:sz w:val="28"/>
          <w:szCs w:val="28"/>
          <w:lang w:val="en-US"/>
        </w:rPr>
        <w:lastRenderedPageBreak/>
        <w:t>References</w:t>
      </w:r>
    </w:p>
    <w:p w:rsidR="004C6CD0" w:rsidRPr="004C6CD0" w:rsidRDefault="004C6CD0" w:rsidP="004C6CD0">
      <w:pPr>
        <w:spacing w:line="480" w:lineRule="auto"/>
        <w:ind w:left="284" w:hanging="284"/>
        <w:rPr>
          <w:lang w:val="en-US"/>
        </w:rPr>
      </w:pPr>
      <w:r w:rsidRPr="004C6CD0">
        <w:rPr>
          <w:lang w:val="en-US"/>
        </w:rPr>
        <w:t xml:space="preserve">Cohen, J. (1988). Statistical power analysis (2nd </w:t>
      </w:r>
      <w:proofErr w:type="gramStart"/>
      <w:r w:rsidRPr="004C6CD0">
        <w:rPr>
          <w:lang w:val="en-US"/>
        </w:rPr>
        <w:t>ed</w:t>
      </w:r>
      <w:proofErr w:type="gramEnd"/>
      <w:r w:rsidRPr="004C6CD0">
        <w:rPr>
          <w:lang w:val="en-US"/>
        </w:rPr>
        <w:t>.). Hillsdale NJ: Erlbaum.</w:t>
      </w:r>
    </w:p>
    <w:p w:rsidR="004C6CD0" w:rsidRPr="00730DAB" w:rsidRDefault="004C6CD0" w:rsidP="004C6CD0">
      <w:pPr>
        <w:spacing w:line="480" w:lineRule="auto"/>
        <w:ind w:left="284" w:hanging="284"/>
        <w:rPr>
          <w:lang w:val="en-US"/>
        </w:rPr>
      </w:pPr>
      <w:proofErr w:type="spellStart"/>
      <w:r w:rsidRPr="00730DAB">
        <w:rPr>
          <w:lang w:val="en-US"/>
        </w:rPr>
        <w:t>Cronbach</w:t>
      </w:r>
      <w:proofErr w:type="spellEnd"/>
      <w:r w:rsidRPr="00730DAB">
        <w:rPr>
          <w:lang w:val="en-US"/>
        </w:rPr>
        <w:t xml:space="preserve">, L. J. (1951). </w:t>
      </w:r>
      <w:proofErr w:type="gramStart"/>
      <w:r w:rsidRPr="00730DAB">
        <w:rPr>
          <w:lang w:val="en-US"/>
        </w:rPr>
        <w:t>Coefficient alpha and the internal structure of tests.</w:t>
      </w:r>
      <w:proofErr w:type="gramEnd"/>
      <w:r w:rsidRPr="00730DAB">
        <w:rPr>
          <w:lang w:val="en-US"/>
        </w:rPr>
        <w:t xml:space="preserve"> </w:t>
      </w:r>
      <w:proofErr w:type="spellStart"/>
      <w:proofErr w:type="gramStart"/>
      <w:r w:rsidRPr="00730DAB">
        <w:rPr>
          <w:lang w:val="en-US"/>
        </w:rPr>
        <w:t>Psychometrika</w:t>
      </w:r>
      <w:proofErr w:type="spellEnd"/>
      <w:r w:rsidRPr="00730DAB">
        <w:rPr>
          <w:lang w:val="en-US"/>
        </w:rPr>
        <w:t>, 16, 297334.</w:t>
      </w:r>
      <w:proofErr w:type="gramEnd"/>
    </w:p>
    <w:p w:rsidR="004C6CD0" w:rsidRPr="004C6CD0" w:rsidRDefault="004C6CD0" w:rsidP="004C6CD0">
      <w:pPr>
        <w:spacing w:line="480" w:lineRule="auto"/>
        <w:ind w:left="284" w:hanging="284"/>
      </w:pPr>
      <w:r w:rsidRPr="00730DAB">
        <w:rPr>
          <w:lang w:val="en-US"/>
        </w:rPr>
        <w:t xml:space="preserve">Fisher, R. A. (1925), Statistical Methods for Research Workers, Edinburgh: Oliver and Boyd. </w:t>
      </w:r>
    </w:p>
    <w:p w:rsidR="004C6CD0" w:rsidRDefault="004C6CD0" w:rsidP="004C6CD0">
      <w:pPr>
        <w:spacing w:line="480" w:lineRule="auto"/>
        <w:ind w:left="284" w:hanging="284"/>
        <w:rPr>
          <w:lang w:val="en-US"/>
        </w:rPr>
      </w:pPr>
      <w:proofErr w:type="spellStart"/>
      <w:proofErr w:type="gramStart"/>
      <w:r w:rsidRPr="00730DAB">
        <w:rPr>
          <w:lang w:val="en-US"/>
        </w:rPr>
        <w:t>Fornell</w:t>
      </w:r>
      <w:proofErr w:type="spellEnd"/>
      <w:r w:rsidRPr="00730DAB">
        <w:rPr>
          <w:lang w:val="en-US"/>
        </w:rPr>
        <w:t xml:space="preserve">, C., &amp; </w:t>
      </w:r>
      <w:proofErr w:type="spellStart"/>
      <w:r w:rsidRPr="00730DAB">
        <w:rPr>
          <w:lang w:val="en-US"/>
        </w:rPr>
        <w:t>Larcker</w:t>
      </w:r>
      <w:proofErr w:type="spellEnd"/>
      <w:r w:rsidRPr="00730DAB">
        <w:rPr>
          <w:lang w:val="en-US"/>
        </w:rPr>
        <w:t>, D. F. (1981).</w:t>
      </w:r>
      <w:proofErr w:type="gramEnd"/>
      <w:r w:rsidRPr="00730DAB">
        <w:rPr>
          <w:lang w:val="en-US"/>
        </w:rPr>
        <w:t xml:space="preserve"> </w:t>
      </w:r>
      <w:proofErr w:type="gramStart"/>
      <w:r w:rsidRPr="00730DAB">
        <w:rPr>
          <w:lang w:val="en-US"/>
        </w:rPr>
        <w:t xml:space="preserve">Evaluating structural equation models with </w:t>
      </w:r>
      <w:proofErr w:type="spellStart"/>
      <w:r w:rsidRPr="00730DAB">
        <w:rPr>
          <w:lang w:val="en-US"/>
        </w:rPr>
        <w:t>unobservablevariables</w:t>
      </w:r>
      <w:proofErr w:type="spellEnd"/>
      <w:r w:rsidRPr="00730DAB">
        <w:rPr>
          <w:lang w:val="en-US"/>
        </w:rPr>
        <w:t xml:space="preserve"> and measurement error.</w:t>
      </w:r>
      <w:proofErr w:type="gramEnd"/>
      <w:r w:rsidRPr="00730DAB">
        <w:rPr>
          <w:lang w:val="en-US"/>
        </w:rPr>
        <w:t xml:space="preserve"> Journal of Marketing Research, 18, 39-50.</w:t>
      </w:r>
    </w:p>
    <w:p w:rsidR="004C6CD0" w:rsidRPr="00730DAB" w:rsidRDefault="004C6CD0" w:rsidP="004C6CD0">
      <w:pPr>
        <w:spacing w:line="480" w:lineRule="auto"/>
        <w:ind w:left="284" w:hanging="284"/>
        <w:rPr>
          <w:lang w:val="en-US"/>
        </w:rPr>
      </w:pPr>
      <w:proofErr w:type="gramStart"/>
      <w:r w:rsidRPr="004C6CD0">
        <w:rPr>
          <w:lang w:val="en-US"/>
        </w:rPr>
        <w:t xml:space="preserve">Gold, A. H., </w:t>
      </w:r>
      <w:proofErr w:type="spellStart"/>
      <w:r w:rsidRPr="004C6CD0">
        <w:rPr>
          <w:lang w:val="en-US"/>
        </w:rPr>
        <w:t>Malhotra</w:t>
      </w:r>
      <w:proofErr w:type="spellEnd"/>
      <w:r w:rsidRPr="004C6CD0">
        <w:rPr>
          <w:lang w:val="en-US"/>
        </w:rPr>
        <w:t xml:space="preserve">, A., &amp; </w:t>
      </w:r>
      <w:proofErr w:type="spellStart"/>
      <w:r w:rsidRPr="004C6CD0">
        <w:rPr>
          <w:lang w:val="en-US"/>
        </w:rPr>
        <w:t>Segars</w:t>
      </w:r>
      <w:proofErr w:type="spellEnd"/>
      <w:r w:rsidRPr="004C6CD0">
        <w:rPr>
          <w:lang w:val="en-US"/>
        </w:rPr>
        <w:t>, A. H. (2001).</w:t>
      </w:r>
      <w:proofErr w:type="gramEnd"/>
      <w:r w:rsidRPr="004C6CD0">
        <w:rPr>
          <w:lang w:val="en-US"/>
        </w:rPr>
        <w:t xml:space="preserve"> Knowledge manage-</w:t>
      </w:r>
      <w:proofErr w:type="spellStart"/>
      <w:r w:rsidRPr="004C6CD0">
        <w:rPr>
          <w:lang w:val="en-US"/>
        </w:rPr>
        <w:t>ment</w:t>
      </w:r>
      <w:proofErr w:type="spellEnd"/>
      <w:r w:rsidRPr="004C6CD0">
        <w:rPr>
          <w:lang w:val="en-US"/>
        </w:rPr>
        <w:t xml:space="preserve">: an </w:t>
      </w:r>
      <w:proofErr w:type="spellStart"/>
      <w:r w:rsidRPr="004C6CD0">
        <w:rPr>
          <w:lang w:val="en-US"/>
        </w:rPr>
        <w:t>organizationalcapabilities</w:t>
      </w:r>
      <w:proofErr w:type="spellEnd"/>
      <w:r w:rsidRPr="004C6CD0">
        <w:rPr>
          <w:lang w:val="en-US"/>
        </w:rPr>
        <w:t xml:space="preserve"> perspective. </w:t>
      </w:r>
      <w:proofErr w:type="gramStart"/>
      <w:r w:rsidRPr="004C6CD0">
        <w:rPr>
          <w:lang w:val="en-US"/>
        </w:rPr>
        <w:t xml:space="preserve">Journal </w:t>
      </w:r>
      <w:proofErr w:type="spellStart"/>
      <w:r w:rsidRPr="004C6CD0">
        <w:rPr>
          <w:lang w:val="en-US"/>
        </w:rPr>
        <w:t>ofManagement</w:t>
      </w:r>
      <w:proofErr w:type="spellEnd"/>
      <w:r w:rsidRPr="004C6CD0">
        <w:rPr>
          <w:lang w:val="en-US"/>
        </w:rPr>
        <w:t xml:space="preserve"> Information Systems, 18(1), 185–214.</w:t>
      </w:r>
      <w:proofErr w:type="gramEnd"/>
    </w:p>
    <w:p w:rsidR="004C6CD0" w:rsidRPr="00730DAB" w:rsidRDefault="004C6CD0" w:rsidP="004C6CD0">
      <w:pPr>
        <w:spacing w:line="480" w:lineRule="auto"/>
        <w:ind w:left="284" w:hanging="284"/>
        <w:rPr>
          <w:lang w:val="en-US"/>
        </w:rPr>
      </w:pPr>
      <w:proofErr w:type="gramStart"/>
      <w:r w:rsidRPr="00730DAB">
        <w:rPr>
          <w:lang w:val="en-US"/>
        </w:rPr>
        <w:t xml:space="preserve">Hair, J.F., Black, W.C., </w:t>
      </w:r>
      <w:proofErr w:type="spellStart"/>
      <w:r w:rsidRPr="00730DAB">
        <w:rPr>
          <w:lang w:val="en-US"/>
        </w:rPr>
        <w:t>Babin</w:t>
      </w:r>
      <w:proofErr w:type="spellEnd"/>
      <w:r w:rsidRPr="00730DAB">
        <w:rPr>
          <w:lang w:val="en-US"/>
        </w:rPr>
        <w:t>, B.J., &amp; Anderson, R.E. (2010).</w:t>
      </w:r>
      <w:proofErr w:type="gramEnd"/>
      <w:r w:rsidRPr="00730DAB">
        <w:rPr>
          <w:lang w:val="en-US"/>
        </w:rPr>
        <w:t xml:space="preserve"> </w:t>
      </w:r>
      <w:proofErr w:type="gramStart"/>
      <w:r w:rsidRPr="00730DAB">
        <w:rPr>
          <w:lang w:val="en-US"/>
        </w:rPr>
        <w:t>Multivariate Data Analysis.</w:t>
      </w:r>
      <w:proofErr w:type="gramEnd"/>
      <w:r w:rsidRPr="00730DAB">
        <w:rPr>
          <w:lang w:val="en-US"/>
        </w:rPr>
        <w:t xml:space="preserve"> </w:t>
      </w:r>
      <w:proofErr w:type="spellStart"/>
      <w:proofErr w:type="gramStart"/>
      <w:r w:rsidRPr="00730DAB">
        <w:rPr>
          <w:lang w:val="en-US"/>
        </w:rPr>
        <w:t>SeventhEdition</w:t>
      </w:r>
      <w:proofErr w:type="spellEnd"/>
      <w:r w:rsidRPr="00730DAB">
        <w:rPr>
          <w:lang w:val="en-US"/>
        </w:rPr>
        <w:t>.</w:t>
      </w:r>
      <w:proofErr w:type="gramEnd"/>
      <w:r w:rsidRPr="00730DAB">
        <w:rPr>
          <w:lang w:val="en-US"/>
        </w:rPr>
        <w:t xml:space="preserve"> </w:t>
      </w:r>
      <w:proofErr w:type="gramStart"/>
      <w:r w:rsidRPr="00730DAB">
        <w:rPr>
          <w:lang w:val="en-US"/>
        </w:rPr>
        <w:t>Prentice Hall, Upper Saddle River, New Jersey.</w:t>
      </w:r>
      <w:proofErr w:type="gramEnd"/>
    </w:p>
    <w:p w:rsidR="004C6CD0" w:rsidRPr="004C6CD0" w:rsidRDefault="004C6CD0" w:rsidP="004C6CD0">
      <w:pPr>
        <w:spacing w:line="480" w:lineRule="auto"/>
        <w:ind w:left="284" w:hanging="284"/>
        <w:rPr>
          <w:lang w:val="en-US"/>
        </w:rPr>
      </w:pPr>
      <w:proofErr w:type="gramStart"/>
      <w:r w:rsidRPr="004C6CD0">
        <w:rPr>
          <w:lang w:val="en-US"/>
        </w:rPr>
        <w:t xml:space="preserve">Hair, Joseph &amp; </w:t>
      </w:r>
      <w:proofErr w:type="spellStart"/>
      <w:r w:rsidRPr="004C6CD0">
        <w:rPr>
          <w:lang w:val="en-US"/>
        </w:rPr>
        <w:t>Hult</w:t>
      </w:r>
      <w:proofErr w:type="spellEnd"/>
      <w:r w:rsidRPr="004C6CD0">
        <w:rPr>
          <w:lang w:val="en-US"/>
        </w:rPr>
        <w:t xml:space="preserve">, G. Tomas M. &amp; </w:t>
      </w:r>
      <w:proofErr w:type="spellStart"/>
      <w:r w:rsidRPr="004C6CD0">
        <w:rPr>
          <w:lang w:val="en-US"/>
        </w:rPr>
        <w:t>Ringle</w:t>
      </w:r>
      <w:proofErr w:type="spellEnd"/>
      <w:r w:rsidRPr="004C6CD0">
        <w:rPr>
          <w:lang w:val="en-US"/>
        </w:rPr>
        <w:t xml:space="preserve">, Christian &amp; </w:t>
      </w:r>
      <w:proofErr w:type="spellStart"/>
      <w:r w:rsidRPr="004C6CD0">
        <w:rPr>
          <w:lang w:val="en-US"/>
        </w:rPr>
        <w:t>Sarstedt</w:t>
      </w:r>
      <w:proofErr w:type="spellEnd"/>
      <w:r w:rsidRPr="004C6CD0">
        <w:rPr>
          <w:lang w:val="en-US"/>
        </w:rPr>
        <w:t>, Marko.</w:t>
      </w:r>
      <w:proofErr w:type="gramEnd"/>
      <w:r w:rsidRPr="004C6CD0">
        <w:rPr>
          <w:lang w:val="en-US"/>
        </w:rPr>
        <w:t xml:space="preserve"> (2014). A Primer on </w:t>
      </w:r>
      <w:proofErr w:type="spellStart"/>
      <w:r w:rsidRPr="004C6CD0">
        <w:rPr>
          <w:lang w:val="en-US"/>
        </w:rPr>
        <w:t>PartialLeast</w:t>
      </w:r>
      <w:proofErr w:type="spellEnd"/>
      <w:r w:rsidRPr="004C6CD0">
        <w:rPr>
          <w:lang w:val="en-US"/>
        </w:rPr>
        <w:t xml:space="preserve"> Squares Structural Equation Modeling (PLS-SEM). </w:t>
      </w:r>
    </w:p>
    <w:p w:rsidR="004C6CD0" w:rsidRPr="00730DAB" w:rsidRDefault="004C6CD0" w:rsidP="004C6CD0">
      <w:pPr>
        <w:spacing w:line="480" w:lineRule="auto"/>
        <w:ind w:left="284" w:hanging="284"/>
        <w:rPr>
          <w:lang w:val="en-US"/>
        </w:rPr>
      </w:pPr>
      <w:proofErr w:type="spellStart"/>
      <w:r w:rsidRPr="00730DAB">
        <w:rPr>
          <w:lang w:val="en-US"/>
        </w:rPr>
        <w:t>Hulland</w:t>
      </w:r>
      <w:proofErr w:type="spellEnd"/>
      <w:r w:rsidRPr="00730DAB">
        <w:rPr>
          <w:lang w:val="en-US"/>
        </w:rPr>
        <w:t xml:space="preserve">, J. (1999). Use of partial least squares (PLS) in strategic management research: A review </w:t>
      </w:r>
      <w:proofErr w:type="spellStart"/>
      <w:r w:rsidRPr="00730DAB">
        <w:rPr>
          <w:lang w:val="en-US"/>
        </w:rPr>
        <w:t>offour</w:t>
      </w:r>
      <w:proofErr w:type="spellEnd"/>
      <w:r w:rsidRPr="00730DAB">
        <w:rPr>
          <w:lang w:val="en-US"/>
        </w:rPr>
        <w:t xml:space="preserve"> recent studies. Strategic Management Journal, 20, 195-204.doi:10.1002</w:t>
      </w:r>
      <w:proofErr w:type="gramStart"/>
      <w:r w:rsidRPr="00730DAB">
        <w:rPr>
          <w:lang w:val="en-US"/>
        </w:rPr>
        <w:t>/(</w:t>
      </w:r>
      <w:proofErr w:type="gramEnd"/>
      <w:r w:rsidRPr="00730DAB">
        <w:rPr>
          <w:lang w:val="en-US"/>
        </w:rPr>
        <w:t>SICI)10970266(199902)20:2&lt;195::AID-SMJ13&gt;3.0.CO;2-7</w:t>
      </w:r>
    </w:p>
    <w:p w:rsidR="004C6CD0" w:rsidRDefault="004C6CD0" w:rsidP="004C6CD0">
      <w:pPr>
        <w:spacing w:line="480" w:lineRule="auto"/>
        <w:ind w:left="284" w:hanging="284"/>
        <w:rPr>
          <w:lang w:val="en-US"/>
        </w:rPr>
      </w:pPr>
      <w:proofErr w:type="gramStart"/>
      <w:r w:rsidRPr="00730DAB">
        <w:rPr>
          <w:lang w:val="en-US"/>
        </w:rPr>
        <w:t xml:space="preserve">James, Gareth &amp; Witten, Daniela &amp; Hastie, Trevor &amp; </w:t>
      </w:r>
      <w:proofErr w:type="spellStart"/>
      <w:r w:rsidRPr="00730DAB">
        <w:rPr>
          <w:lang w:val="en-US"/>
        </w:rPr>
        <w:t>Tibshirani</w:t>
      </w:r>
      <w:proofErr w:type="spellEnd"/>
      <w:r w:rsidRPr="00730DAB">
        <w:rPr>
          <w:lang w:val="en-US"/>
        </w:rPr>
        <w:t>, Robert.</w:t>
      </w:r>
      <w:proofErr w:type="gramEnd"/>
      <w:r w:rsidRPr="00730DAB">
        <w:rPr>
          <w:lang w:val="en-US"/>
        </w:rPr>
        <w:t xml:space="preserve"> (2013). An Introduction </w:t>
      </w:r>
      <w:proofErr w:type="spellStart"/>
      <w:r w:rsidRPr="00730DAB">
        <w:rPr>
          <w:lang w:val="en-US"/>
        </w:rPr>
        <w:t>toStatistical</w:t>
      </w:r>
      <w:proofErr w:type="spellEnd"/>
      <w:r w:rsidRPr="00730DAB">
        <w:rPr>
          <w:lang w:val="en-US"/>
        </w:rPr>
        <w:t xml:space="preserve"> </w:t>
      </w:r>
      <w:proofErr w:type="gramStart"/>
      <w:r w:rsidRPr="00730DAB">
        <w:rPr>
          <w:lang w:val="en-US"/>
        </w:rPr>
        <w:t>Learning</w:t>
      </w:r>
      <w:proofErr w:type="gramEnd"/>
      <w:r w:rsidRPr="00730DAB">
        <w:rPr>
          <w:lang w:val="en-US"/>
        </w:rPr>
        <w:t>: With Applications in R.</w:t>
      </w:r>
    </w:p>
    <w:p w:rsidR="004C6CD0" w:rsidRPr="00730DAB" w:rsidRDefault="004C6CD0" w:rsidP="004C6CD0">
      <w:pPr>
        <w:spacing w:line="480" w:lineRule="auto"/>
        <w:ind w:left="284" w:hanging="284"/>
        <w:rPr>
          <w:lang w:val="en-US"/>
        </w:rPr>
      </w:pPr>
      <w:r w:rsidRPr="00730DAB">
        <w:rPr>
          <w:lang w:val="en-US"/>
        </w:rPr>
        <w:t xml:space="preserve">Kline, R. B. (2011). Principles and practice of structural equation modeling (3rd </w:t>
      </w:r>
      <w:proofErr w:type="gramStart"/>
      <w:r w:rsidRPr="00730DAB">
        <w:rPr>
          <w:lang w:val="en-US"/>
        </w:rPr>
        <w:t>ed</w:t>
      </w:r>
      <w:proofErr w:type="gramEnd"/>
      <w:r w:rsidRPr="00730DAB">
        <w:rPr>
          <w:lang w:val="en-US"/>
        </w:rPr>
        <w:t xml:space="preserve">.). </w:t>
      </w:r>
      <w:proofErr w:type="gramStart"/>
      <w:r w:rsidRPr="00730DAB">
        <w:rPr>
          <w:lang w:val="en-US"/>
        </w:rPr>
        <w:t>Guilford Press.</w:t>
      </w:r>
      <w:proofErr w:type="gramEnd"/>
    </w:p>
    <w:sectPr w:rsidR="004C6CD0" w:rsidRPr="00730DAB" w:rsidSect="00D80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263FD"/>
    <w:rsid w:val="000C07FC"/>
    <w:rsid w:val="00186B8B"/>
    <w:rsid w:val="004471FD"/>
    <w:rsid w:val="004C6CD0"/>
    <w:rsid w:val="004D71BE"/>
    <w:rsid w:val="00585611"/>
    <w:rsid w:val="00684AA0"/>
    <w:rsid w:val="006F0FA1"/>
    <w:rsid w:val="00711943"/>
    <w:rsid w:val="0071198F"/>
    <w:rsid w:val="00730DAB"/>
    <w:rsid w:val="007B450C"/>
    <w:rsid w:val="008A7B62"/>
    <w:rsid w:val="008B5F56"/>
    <w:rsid w:val="00921357"/>
    <w:rsid w:val="00923B2D"/>
    <w:rsid w:val="00A0577B"/>
    <w:rsid w:val="00AF1C71"/>
    <w:rsid w:val="00C263FD"/>
    <w:rsid w:val="00C72BBE"/>
    <w:rsid w:val="00CE139F"/>
    <w:rsid w:val="00D80B9A"/>
    <w:rsid w:val="00E95222"/>
    <w:rsid w:val="00FE3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C263F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val="en-US" w:eastAsia="hi-IN" w:bidi="hi-IN"/>
    </w:rPr>
  </w:style>
  <w:style w:type="paragraph" w:customStyle="1" w:styleId="TableHeading">
    <w:name w:val="Table Heading"/>
    <w:basedOn w:val="TableContents"/>
    <w:rsid w:val="00C263FD"/>
    <w:pPr>
      <w:jc w:val="center"/>
    </w:pPr>
    <w:rPr>
      <w:b/>
      <w:bCs/>
    </w:rPr>
  </w:style>
  <w:style w:type="character" w:styleId="Strong">
    <w:name w:val="Strong"/>
    <w:basedOn w:val="DefaultParagraphFont"/>
    <w:qFormat/>
    <w:rsid w:val="00C263FD"/>
    <w:rPr>
      <w:b/>
      <w:bCs/>
    </w:rPr>
  </w:style>
  <w:style w:type="character" w:styleId="Emphasis">
    <w:name w:val="Emphasis"/>
    <w:basedOn w:val="DefaultParagraphFont"/>
    <w:qFormat/>
    <w:rsid w:val="00C263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1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2765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2021-08-25T14:39:00Z</dcterms:created>
  <dcterms:modified xsi:type="dcterms:W3CDTF">2021-08-25T14:39:00Z</dcterms:modified>
</cp:coreProperties>
</file>