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E7" w:rsidRPr="00850E34" w:rsidRDefault="00405601" w:rsidP="00850E34">
      <w:pPr>
        <w:spacing w:line="360" w:lineRule="auto"/>
        <w:jc w:val="center"/>
        <w:rPr>
          <w:rFonts w:asciiTheme="majorBidi" w:hAnsiTheme="majorBidi" w:cstheme="majorBidi"/>
          <w:b/>
          <w:sz w:val="28"/>
          <w:szCs w:val="28"/>
        </w:rPr>
      </w:pPr>
      <w:r w:rsidRPr="00850E34">
        <w:rPr>
          <w:rFonts w:asciiTheme="majorBidi" w:hAnsiTheme="majorBidi" w:cstheme="majorBidi"/>
          <w:b/>
          <w:sz w:val="28"/>
          <w:szCs w:val="28"/>
        </w:rPr>
        <w:t>Case</w:t>
      </w:r>
      <w:r w:rsidR="00E45D18" w:rsidRPr="00850E34">
        <w:rPr>
          <w:rFonts w:asciiTheme="majorBidi" w:hAnsiTheme="majorBidi" w:cstheme="majorBidi"/>
          <w:b/>
          <w:sz w:val="28"/>
          <w:szCs w:val="28"/>
        </w:rPr>
        <w:t xml:space="preserve"> 3</w:t>
      </w:r>
    </w:p>
    <w:p w:rsidR="00405601" w:rsidRPr="00850E34" w:rsidRDefault="00405601" w:rsidP="00850E34">
      <w:pPr>
        <w:spacing w:line="360" w:lineRule="auto"/>
        <w:rPr>
          <w:rFonts w:asciiTheme="majorBidi" w:hAnsiTheme="majorBidi" w:cstheme="majorBidi"/>
          <w:b/>
          <w:sz w:val="24"/>
          <w:szCs w:val="24"/>
        </w:rPr>
      </w:pPr>
      <w:r w:rsidRPr="00850E34">
        <w:rPr>
          <w:rFonts w:asciiTheme="majorBidi" w:hAnsiTheme="majorBidi" w:cstheme="majorBidi"/>
          <w:b/>
          <w:sz w:val="24"/>
          <w:szCs w:val="24"/>
        </w:rPr>
        <w:t>Measurement Model</w:t>
      </w:r>
    </w:p>
    <w:p w:rsidR="00405601" w:rsidRPr="00850E34" w:rsidRDefault="00405601" w:rsidP="009F7529">
      <w:pPr>
        <w:spacing w:line="360" w:lineRule="auto"/>
        <w:jc w:val="both"/>
        <w:rPr>
          <w:rFonts w:asciiTheme="majorBidi" w:hAnsiTheme="majorBidi" w:cstheme="majorBidi"/>
          <w:bCs/>
        </w:rPr>
      </w:pPr>
      <w:r w:rsidRPr="00850E34">
        <w:rPr>
          <w:rFonts w:asciiTheme="majorBidi" w:hAnsiTheme="majorBidi" w:cstheme="majorBidi"/>
          <w:bCs/>
        </w:rPr>
        <w:t>Measurement model or outer model enables the researcher to assess how efficiently the observed variables merge to recognize fundamental hypothesized construct. Measurement models are tested through confirmatory factor analysis and latent variables are defined by hypothesized factors. In measurement model, latent variables rely on the measures chosen by the researcher. The accuracy of latent variable depends on the extent that the measures defining it are strongly correlated to one another. Such as the weak correlation between the one measure with other two measures of the same construct, resultantly, that construct will be defined poorly (Weston, Rebecca &amp; Gore, Paul.,2006). A measurement model is referred to as multivariate regression where indicators are known as endogenous or exogenous latent variables. In reflective measurement model, correlation among the same domain items is usual (Edward and Bagozzi, 2000). Comparably, a set of indicators based on linear combination form the construct in a formative measurement model. Therefore, change in indicators follows variety in the inactive variable (Borsboom et al. 2003).</w:t>
      </w:r>
    </w:p>
    <w:p w:rsidR="00E45D18" w:rsidRPr="00850E34" w:rsidRDefault="00B755E7" w:rsidP="00850E34">
      <w:pPr>
        <w:spacing w:line="360" w:lineRule="auto"/>
        <w:rPr>
          <w:rFonts w:asciiTheme="majorBidi" w:hAnsiTheme="majorBidi" w:cstheme="majorBidi"/>
        </w:rPr>
      </w:pPr>
      <w:r w:rsidRPr="00850E34">
        <w:rPr>
          <w:rFonts w:asciiTheme="majorBidi" w:hAnsiTheme="majorBidi" w:cstheme="majorBidi"/>
          <w:noProof/>
        </w:rPr>
        <w:drawing>
          <wp:inline distT="0" distB="0" distL="0" distR="0">
            <wp:extent cx="5943600" cy="396494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P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3964940"/>
                    </a:xfrm>
                    <a:prstGeom prst="rect">
                      <a:avLst/>
                    </a:prstGeom>
                  </pic:spPr>
                </pic:pic>
              </a:graphicData>
            </a:graphic>
          </wp:inline>
        </w:drawing>
      </w:r>
    </w:p>
    <w:p w:rsidR="00850E34" w:rsidRDefault="00850E34" w:rsidP="00850E34">
      <w:pPr>
        <w:spacing w:line="360" w:lineRule="auto"/>
        <w:jc w:val="center"/>
        <w:rPr>
          <w:rFonts w:asciiTheme="majorBidi" w:hAnsiTheme="majorBidi" w:cstheme="majorBidi"/>
          <w:b/>
          <w:sz w:val="24"/>
          <w:szCs w:val="24"/>
        </w:rPr>
      </w:pPr>
      <w:r>
        <w:rPr>
          <w:rFonts w:asciiTheme="majorBidi" w:hAnsiTheme="majorBidi" w:cstheme="majorBidi"/>
          <w:b/>
          <w:sz w:val="24"/>
          <w:szCs w:val="24"/>
        </w:rPr>
        <w:t>Figure 1. Path Coefficients</w:t>
      </w:r>
    </w:p>
    <w:p w:rsidR="008463BF" w:rsidRPr="00850E34" w:rsidRDefault="008463BF" w:rsidP="00850E34">
      <w:pPr>
        <w:spacing w:line="360" w:lineRule="auto"/>
        <w:rPr>
          <w:rFonts w:asciiTheme="majorBidi" w:hAnsiTheme="majorBidi" w:cstheme="majorBidi"/>
          <w:b/>
          <w:sz w:val="24"/>
          <w:szCs w:val="24"/>
        </w:rPr>
      </w:pPr>
      <w:r w:rsidRPr="00850E34">
        <w:rPr>
          <w:rFonts w:asciiTheme="majorBidi" w:hAnsiTheme="majorBidi" w:cstheme="majorBidi"/>
          <w:b/>
          <w:sz w:val="24"/>
          <w:szCs w:val="24"/>
        </w:rPr>
        <w:lastRenderedPageBreak/>
        <w:t>PLS Algorithm</w:t>
      </w:r>
    </w:p>
    <w:p w:rsidR="008463BF" w:rsidRPr="00850E34" w:rsidRDefault="008463BF"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Wold (1982) developed the PLS path modelling model and Henseler et Al., (2009) defined PLS algorithm as the series of regressions corresponding of weight vectors. Fixed points equations are satisfied by the convergence of weight vectors (Dijkstra, 2010). In the above figure, the path model constructed with the research question shows that all the paths of the model are significant. Organizational citizenship behaviour, organizational commitment and job satisfaction have path coefficients 0.</w:t>
      </w:r>
      <w:r w:rsidR="00850E34" w:rsidRPr="00850E34">
        <w:rPr>
          <w:rFonts w:asciiTheme="majorBidi" w:hAnsiTheme="majorBidi" w:cstheme="majorBidi"/>
          <w:bCs/>
        </w:rPr>
        <w:t>547</w:t>
      </w:r>
      <w:r w:rsidRPr="00850E34">
        <w:rPr>
          <w:rFonts w:asciiTheme="majorBidi" w:hAnsiTheme="majorBidi" w:cstheme="majorBidi"/>
          <w:bCs/>
        </w:rPr>
        <w:t>, 0.</w:t>
      </w:r>
      <w:r w:rsidR="00850E34" w:rsidRPr="00850E34">
        <w:rPr>
          <w:rFonts w:asciiTheme="majorBidi" w:hAnsiTheme="majorBidi" w:cstheme="majorBidi"/>
          <w:bCs/>
        </w:rPr>
        <w:t>076</w:t>
      </w:r>
      <w:r w:rsidRPr="00850E34">
        <w:rPr>
          <w:rFonts w:asciiTheme="majorBidi" w:hAnsiTheme="majorBidi" w:cstheme="majorBidi"/>
          <w:bCs/>
        </w:rPr>
        <w:t xml:space="preserve"> and 0.981</w:t>
      </w:r>
      <w:r w:rsidR="00850E34" w:rsidRPr="00850E34">
        <w:rPr>
          <w:rFonts w:asciiTheme="majorBidi" w:hAnsiTheme="majorBidi" w:cstheme="majorBidi"/>
          <w:bCs/>
        </w:rPr>
        <w:t xml:space="preserve"> and 0.779</w:t>
      </w:r>
      <w:r w:rsidRPr="00850E34">
        <w:rPr>
          <w:rFonts w:asciiTheme="majorBidi" w:hAnsiTheme="majorBidi" w:cstheme="majorBidi"/>
          <w:bCs/>
        </w:rPr>
        <w:t>, respectively. All the three values are significant indicating a meaningful relationship between</w:t>
      </w:r>
      <w:r w:rsidR="00850E34" w:rsidRPr="00850E34">
        <w:rPr>
          <w:rFonts w:asciiTheme="majorBidi" w:hAnsiTheme="majorBidi" w:cstheme="majorBidi"/>
          <w:bCs/>
        </w:rPr>
        <w:t xml:space="preserve"> OC, </w:t>
      </w:r>
      <w:r w:rsidR="00105835" w:rsidRPr="00850E34">
        <w:rPr>
          <w:rFonts w:asciiTheme="majorBidi" w:hAnsiTheme="majorBidi" w:cstheme="majorBidi"/>
          <w:bCs/>
        </w:rPr>
        <w:t>JS,</w:t>
      </w:r>
      <w:r w:rsidR="00850E34" w:rsidRPr="00850E34">
        <w:rPr>
          <w:rFonts w:asciiTheme="majorBidi" w:hAnsiTheme="majorBidi" w:cstheme="majorBidi"/>
          <w:bCs/>
        </w:rPr>
        <w:t xml:space="preserve"> and OCB</w:t>
      </w:r>
      <w:r w:rsidRPr="00850E34">
        <w:rPr>
          <w:rFonts w:asciiTheme="majorBidi" w:hAnsiTheme="majorBidi" w:cstheme="majorBidi"/>
          <w:bCs/>
        </w:rPr>
        <w:t>. These values indicate the variation caused in dependent variable (</w:t>
      </w:r>
      <w:r w:rsidR="00850E34" w:rsidRPr="00850E34">
        <w:rPr>
          <w:rFonts w:asciiTheme="majorBidi" w:hAnsiTheme="majorBidi" w:cstheme="majorBidi"/>
          <w:bCs/>
        </w:rPr>
        <w:t>54.7</w:t>
      </w:r>
      <w:r w:rsidRPr="00850E34">
        <w:rPr>
          <w:rFonts w:asciiTheme="majorBidi" w:hAnsiTheme="majorBidi" w:cstheme="majorBidi"/>
          <w:bCs/>
        </w:rPr>
        <w:t xml:space="preserve">% in </w:t>
      </w:r>
      <w:r w:rsidR="00850E34" w:rsidRPr="00850E34">
        <w:rPr>
          <w:rFonts w:asciiTheme="majorBidi" w:hAnsiTheme="majorBidi" w:cstheme="majorBidi"/>
          <w:bCs/>
        </w:rPr>
        <w:t>OC</w:t>
      </w:r>
      <w:r w:rsidRPr="00850E34">
        <w:rPr>
          <w:rFonts w:asciiTheme="majorBidi" w:hAnsiTheme="majorBidi" w:cstheme="majorBidi"/>
          <w:bCs/>
        </w:rPr>
        <w:t xml:space="preserve">, </w:t>
      </w:r>
      <w:r w:rsidR="00850E34" w:rsidRPr="00850E34">
        <w:rPr>
          <w:rFonts w:asciiTheme="majorBidi" w:hAnsiTheme="majorBidi" w:cstheme="majorBidi"/>
          <w:bCs/>
        </w:rPr>
        <w:t>7.6</w:t>
      </w:r>
      <w:r w:rsidRPr="00850E34">
        <w:rPr>
          <w:rFonts w:asciiTheme="majorBidi" w:hAnsiTheme="majorBidi" w:cstheme="majorBidi"/>
          <w:bCs/>
        </w:rPr>
        <w:t>% in</w:t>
      </w:r>
      <w:r w:rsidR="00850E34" w:rsidRPr="00850E34">
        <w:rPr>
          <w:rFonts w:asciiTheme="majorBidi" w:hAnsiTheme="majorBidi" w:cstheme="majorBidi"/>
          <w:bCs/>
        </w:rPr>
        <w:t xml:space="preserve"> OCB</w:t>
      </w:r>
      <w:r w:rsidRPr="00850E34">
        <w:rPr>
          <w:rFonts w:asciiTheme="majorBidi" w:hAnsiTheme="majorBidi" w:cstheme="majorBidi"/>
          <w:bCs/>
        </w:rPr>
        <w:t xml:space="preserve"> and </w:t>
      </w:r>
      <w:r w:rsidR="00850E34" w:rsidRPr="00850E34">
        <w:rPr>
          <w:rFonts w:asciiTheme="majorBidi" w:hAnsiTheme="majorBidi" w:cstheme="majorBidi"/>
          <w:bCs/>
        </w:rPr>
        <w:t>77.9</w:t>
      </w:r>
      <w:r w:rsidRPr="00850E34">
        <w:rPr>
          <w:rFonts w:asciiTheme="majorBidi" w:hAnsiTheme="majorBidi" w:cstheme="majorBidi"/>
          <w:bCs/>
        </w:rPr>
        <w:t>% in</w:t>
      </w:r>
      <w:r w:rsidR="00850E34" w:rsidRPr="00850E34">
        <w:rPr>
          <w:rFonts w:asciiTheme="majorBidi" w:hAnsiTheme="majorBidi" w:cstheme="majorBidi"/>
          <w:bCs/>
        </w:rPr>
        <w:t xml:space="preserve"> job satisfaction</w:t>
      </w:r>
      <w:r w:rsidRPr="00850E34">
        <w:rPr>
          <w:rFonts w:asciiTheme="majorBidi" w:hAnsiTheme="majorBidi" w:cstheme="majorBidi"/>
          <w:bCs/>
        </w:rPr>
        <w:t>) is significant</w:t>
      </w:r>
      <w:r w:rsidR="00850E34" w:rsidRPr="00850E34">
        <w:rPr>
          <w:rFonts w:asciiTheme="majorBidi" w:hAnsiTheme="majorBidi" w:cstheme="majorBidi"/>
          <w:bCs/>
        </w:rPr>
        <w:t>.</w:t>
      </w:r>
    </w:p>
    <w:p w:rsidR="009C22E3" w:rsidRPr="00850E34" w:rsidRDefault="001502C5" w:rsidP="00850E34">
      <w:pPr>
        <w:spacing w:line="360" w:lineRule="auto"/>
        <w:rPr>
          <w:rFonts w:asciiTheme="majorBidi" w:hAnsiTheme="majorBidi" w:cstheme="majorBidi"/>
          <w:b/>
          <w:sz w:val="24"/>
          <w:szCs w:val="24"/>
        </w:rPr>
      </w:pPr>
      <w:r w:rsidRPr="00850E34">
        <w:rPr>
          <w:rFonts w:asciiTheme="majorBidi" w:hAnsiTheme="majorBidi" w:cstheme="majorBidi"/>
          <w:b/>
          <w:sz w:val="24"/>
          <w:szCs w:val="24"/>
        </w:rPr>
        <w:t xml:space="preserve">Table </w:t>
      </w:r>
      <w:r w:rsidR="004137B4" w:rsidRPr="00850E34">
        <w:rPr>
          <w:rFonts w:asciiTheme="majorBidi" w:hAnsiTheme="majorBidi" w:cstheme="majorBidi"/>
          <w:b/>
          <w:sz w:val="24"/>
          <w:szCs w:val="24"/>
        </w:rPr>
        <w:t>1</w:t>
      </w:r>
    </w:p>
    <w:p w:rsidR="00975E09" w:rsidRPr="00850E34" w:rsidRDefault="009C22E3" w:rsidP="00850E34">
      <w:pPr>
        <w:spacing w:line="360" w:lineRule="auto"/>
        <w:rPr>
          <w:rFonts w:asciiTheme="majorBidi" w:hAnsiTheme="majorBidi" w:cstheme="majorBidi"/>
          <w:i/>
          <w:iCs/>
        </w:rPr>
      </w:pPr>
      <w:r w:rsidRPr="00850E34">
        <w:rPr>
          <w:rFonts w:asciiTheme="majorBidi" w:hAnsiTheme="majorBidi" w:cstheme="majorBidi"/>
          <w:i/>
          <w:iCs/>
        </w:rPr>
        <w:t xml:space="preserve">VariablesDescriptive and Confirmatory Factor Analysis </w:t>
      </w:r>
    </w:p>
    <w:tbl>
      <w:tblPr>
        <w:tblW w:w="6740" w:type="dxa"/>
        <w:tblLook w:val="04A0"/>
      </w:tblPr>
      <w:tblGrid>
        <w:gridCol w:w="1080"/>
        <w:gridCol w:w="1221"/>
        <w:gridCol w:w="1159"/>
        <w:gridCol w:w="1347"/>
        <w:gridCol w:w="938"/>
        <w:gridCol w:w="995"/>
      </w:tblGrid>
      <w:tr w:rsidR="00E1707D" w:rsidRPr="00850E34" w:rsidTr="00E1707D">
        <w:trPr>
          <w:trHeight w:val="300"/>
        </w:trPr>
        <w:tc>
          <w:tcPr>
            <w:tcW w:w="1080" w:type="dxa"/>
            <w:tcBorders>
              <w:top w:val="single" w:sz="4" w:space="0" w:color="auto"/>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 </w:t>
            </w:r>
          </w:p>
        </w:tc>
        <w:tc>
          <w:tcPr>
            <w:tcW w:w="2380" w:type="dxa"/>
            <w:gridSpan w:val="2"/>
            <w:tcBorders>
              <w:top w:val="single" w:sz="4" w:space="0" w:color="auto"/>
              <w:left w:val="nil"/>
              <w:bottom w:val="single" w:sz="4" w:space="0" w:color="auto"/>
              <w:right w:val="nil"/>
            </w:tcBorders>
            <w:shd w:val="clear" w:color="auto" w:fill="auto"/>
            <w:vAlign w:val="center"/>
            <w:hideMark/>
          </w:tcPr>
          <w:p w:rsidR="00E1707D" w:rsidRPr="00850E34" w:rsidRDefault="00E1707D" w:rsidP="00850E34">
            <w:pPr>
              <w:spacing w:after="0" w:line="360" w:lineRule="auto"/>
              <w:jc w:val="center"/>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Descriptive Statistics</w:t>
            </w:r>
          </w:p>
        </w:tc>
        <w:tc>
          <w:tcPr>
            <w:tcW w:w="3280" w:type="dxa"/>
            <w:gridSpan w:val="3"/>
            <w:tcBorders>
              <w:top w:val="single" w:sz="4" w:space="0" w:color="auto"/>
              <w:left w:val="nil"/>
              <w:bottom w:val="single" w:sz="4" w:space="0" w:color="auto"/>
              <w:right w:val="nil"/>
            </w:tcBorders>
            <w:shd w:val="clear" w:color="auto" w:fill="auto"/>
            <w:noWrap/>
            <w:vAlign w:val="bottom"/>
            <w:hideMark/>
          </w:tcPr>
          <w:p w:rsidR="00E1707D" w:rsidRPr="00850E34" w:rsidRDefault="00E1707D" w:rsidP="00850E34">
            <w:pPr>
              <w:spacing w:after="0" w:line="360" w:lineRule="auto"/>
              <w:jc w:val="center"/>
              <w:rPr>
                <w:rFonts w:asciiTheme="majorBidi" w:eastAsia="Times New Roman" w:hAnsiTheme="majorBidi" w:cstheme="majorBidi"/>
                <w:b/>
                <w:bCs/>
                <w:color w:val="000000"/>
                <w:lang w:val="en-GB" w:eastAsia="en-GB"/>
              </w:rPr>
            </w:pPr>
            <w:r w:rsidRPr="00850E34">
              <w:rPr>
                <w:rFonts w:asciiTheme="majorBidi" w:eastAsia="Times New Roman" w:hAnsiTheme="majorBidi" w:cstheme="majorBidi"/>
                <w:b/>
                <w:bCs/>
                <w:color w:val="000000"/>
                <w:lang w:val="en-GB" w:eastAsia="en-GB"/>
              </w:rPr>
              <w:t>Confirmatory Factor Analysis</w:t>
            </w:r>
          </w:p>
        </w:tc>
      </w:tr>
      <w:tr w:rsidR="00E1707D" w:rsidRPr="00850E34" w:rsidTr="00E1707D">
        <w:trPr>
          <w:trHeight w:val="600"/>
        </w:trPr>
        <w:tc>
          <w:tcPr>
            <w:tcW w:w="1080" w:type="dxa"/>
            <w:tcBorders>
              <w:top w:val="nil"/>
              <w:left w:val="nil"/>
              <w:bottom w:val="single" w:sz="4" w:space="0" w:color="auto"/>
              <w:right w:val="nil"/>
            </w:tcBorders>
            <w:shd w:val="clear" w:color="auto" w:fill="auto"/>
            <w:noWrap/>
            <w:vAlign w:val="bottom"/>
            <w:hideMark/>
          </w:tcPr>
          <w:p w:rsidR="00E1707D" w:rsidRPr="00850E34" w:rsidRDefault="00E1707D" w:rsidP="00850E34">
            <w:pPr>
              <w:spacing w:after="0" w:line="360" w:lineRule="auto"/>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 </w:t>
            </w:r>
          </w:p>
        </w:tc>
        <w:tc>
          <w:tcPr>
            <w:tcW w:w="1221" w:type="dxa"/>
            <w:tcBorders>
              <w:top w:val="nil"/>
              <w:left w:val="nil"/>
              <w:bottom w:val="single" w:sz="4" w:space="0" w:color="auto"/>
              <w:right w:val="nil"/>
            </w:tcBorders>
            <w:shd w:val="clear" w:color="auto" w:fill="auto"/>
            <w:noWrap/>
            <w:vAlign w:val="bottom"/>
            <w:hideMark/>
          </w:tcPr>
          <w:p w:rsidR="00E1707D" w:rsidRPr="00850E34" w:rsidRDefault="00E1707D" w:rsidP="00850E34">
            <w:pPr>
              <w:spacing w:after="0" w:line="360" w:lineRule="auto"/>
              <w:rPr>
                <w:rFonts w:asciiTheme="majorBidi" w:eastAsia="Times New Roman" w:hAnsiTheme="majorBidi" w:cstheme="majorBidi"/>
                <w:b/>
                <w:bCs/>
                <w:color w:val="000000"/>
                <w:lang w:val="en-GB" w:eastAsia="en-GB"/>
              </w:rPr>
            </w:pPr>
            <w:r w:rsidRPr="00850E34">
              <w:rPr>
                <w:rFonts w:asciiTheme="majorBidi" w:eastAsia="Times New Roman" w:hAnsiTheme="majorBidi" w:cstheme="majorBidi"/>
                <w:b/>
                <w:bCs/>
                <w:color w:val="000000"/>
                <w:lang w:val="en-GB" w:eastAsia="en-GB"/>
              </w:rPr>
              <w:t>Mean</w:t>
            </w:r>
          </w:p>
        </w:tc>
        <w:tc>
          <w:tcPr>
            <w:tcW w:w="1159" w:type="dxa"/>
            <w:tcBorders>
              <w:top w:val="nil"/>
              <w:left w:val="nil"/>
              <w:bottom w:val="single" w:sz="4" w:space="0" w:color="auto"/>
              <w:right w:val="nil"/>
            </w:tcBorders>
            <w:shd w:val="clear" w:color="auto" w:fill="auto"/>
            <w:noWrap/>
            <w:vAlign w:val="bottom"/>
            <w:hideMark/>
          </w:tcPr>
          <w:p w:rsidR="00E1707D" w:rsidRPr="00850E34" w:rsidRDefault="00E1707D" w:rsidP="00850E34">
            <w:pPr>
              <w:spacing w:after="0" w:line="360" w:lineRule="auto"/>
              <w:rPr>
                <w:rFonts w:asciiTheme="majorBidi" w:eastAsia="Times New Roman" w:hAnsiTheme="majorBidi" w:cstheme="majorBidi"/>
                <w:b/>
                <w:bCs/>
                <w:color w:val="000000"/>
                <w:lang w:val="en-GB" w:eastAsia="en-GB"/>
              </w:rPr>
            </w:pPr>
            <w:r w:rsidRPr="00850E34">
              <w:rPr>
                <w:rFonts w:asciiTheme="majorBidi" w:eastAsia="Times New Roman" w:hAnsiTheme="majorBidi" w:cstheme="majorBidi"/>
                <w:b/>
                <w:bCs/>
                <w:color w:val="000000"/>
                <w:lang w:val="en-GB" w:eastAsia="en-GB"/>
              </w:rPr>
              <w:t>SD</w:t>
            </w:r>
          </w:p>
        </w:tc>
        <w:tc>
          <w:tcPr>
            <w:tcW w:w="1347" w:type="dxa"/>
            <w:tcBorders>
              <w:top w:val="nil"/>
              <w:left w:val="nil"/>
              <w:bottom w:val="single" w:sz="4" w:space="0" w:color="auto"/>
              <w:right w:val="nil"/>
            </w:tcBorders>
            <w:shd w:val="clear" w:color="auto" w:fill="auto"/>
            <w:vAlign w:val="bottom"/>
            <w:hideMark/>
          </w:tcPr>
          <w:p w:rsidR="00E1707D" w:rsidRPr="00850E34" w:rsidRDefault="00E1707D" w:rsidP="00850E34">
            <w:pPr>
              <w:spacing w:after="0" w:line="360" w:lineRule="auto"/>
              <w:rPr>
                <w:rFonts w:asciiTheme="majorBidi" w:eastAsia="Times New Roman" w:hAnsiTheme="majorBidi" w:cstheme="majorBidi"/>
                <w:b/>
                <w:bCs/>
                <w:color w:val="000000"/>
                <w:lang w:val="en-GB" w:eastAsia="en-GB"/>
              </w:rPr>
            </w:pPr>
            <w:r w:rsidRPr="00850E34">
              <w:rPr>
                <w:rFonts w:asciiTheme="majorBidi" w:eastAsia="Times New Roman" w:hAnsiTheme="majorBidi" w:cstheme="majorBidi"/>
                <w:b/>
                <w:bCs/>
                <w:color w:val="000000"/>
                <w:lang w:val="en-GB" w:eastAsia="en-GB"/>
              </w:rPr>
              <w:t>Outer Loading</w:t>
            </w:r>
          </w:p>
        </w:tc>
        <w:tc>
          <w:tcPr>
            <w:tcW w:w="938" w:type="dxa"/>
            <w:tcBorders>
              <w:top w:val="nil"/>
              <w:left w:val="nil"/>
              <w:bottom w:val="single" w:sz="4" w:space="0" w:color="auto"/>
              <w:right w:val="nil"/>
            </w:tcBorders>
            <w:shd w:val="clear" w:color="auto" w:fill="auto"/>
            <w:noWrap/>
            <w:vAlign w:val="bottom"/>
            <w:hideMark/>
          </w:tcPr>
          <w:p w:rsidR="00E1707D" w:rsidRPr="00850E34" w:rsidRDefault="00E1707D" w:rsidP="00850E34">
            <w:pPr>
              <w:spacing w:after="0" w:line="360" w:lineRule="auto"/>
              <w:rPr>
                <w:rFonts w:asciiTheme="majorBidi" w:eastAsia="Times New Roman" w:hAnsiTheme="majorBidi" w:cstheme="majorBidi"/>
                <w:b/>
                <w:bCs/>
                <w:color w:val="000000"/>
                <w:lang w:val="en-GB" w:eastAsia="en-GB"/>
              </w:rPr>
            </w:pPr>
            <w:r w:rsidRPr="00850E34">
              <w:rPr>
                <w:rFonts w:asciiTheme="majorBidi" w:eastAsia="Times New Roman" w:hAnsiTheme="majorBidi" w:cstheme="majorBidi"/>
                <w:b/>
                <w:bCs/>
                <w:color w:val="000000"/>
                <w:lang w:val="en-GB" w:eastAsia="en-GB"/>
              </w:rPr>
              <w:t>t-value</w:t>
            </w:r>
          </w:p>
        </w:tc>
        <w:tc>
          <w:tcPr>
            <w:tcW w:w="995" w:type="dxa"/>
            <w:tcBorders>
              <w:top w:val="nil"/>
              <w:left w:val="nil"/>
              <w:bottom w:val="single" w:sz="4" w:space="0" w:color="auto"/>
              <w:right w:val="nil"/>
            </w:tcBorders>
            <w:shd w:val="clear" w:color="auto" w:fill="auto"/>
            <w:noWrap/>
            <w:vAlign w:val="bottom"/>
            <w:hideMark/>
          </w:tcPr>
          <w:p w:rsidR="00E1707D" w:rsidRPr="00850E34" w:rsidRDefault="00E1707D" w:rsidP="00850E34">
            <w:pPr>
              <w:spacing w:after="0" w:line="360" w:lineRule="auto"/>
              <w:rPr>
                <w:rFonts w:asciiTheme="majorBidi" w:eastAsia="Times New Roman" w:hAnsiTheme="majorBidi" w:cstheme="majorBidi"/>
                <w:b/>
                <w:bCs/>
                <w:color w:val="000000"/>
                <w:lang w:val="en-GB" w:eastAsia="en-GB"/>
              </w:rPr>
            </w:pPr>
            <w:r w:rsidRPr="00850E34">
              <w:rPr>
                <w:rFonts w:asciiTheme="majorBidi" w:eastAsia="Times New Roman" w:hAnsiTheme="majorBidi" w:cstheme="majorBidi"/>
                <w:b/>
                <w:bCs/>
                <w:color w:val="000000"/>
                <w:lang w:val="en-GB" w:eastAsia="en-GB"/>
              </w:rPr>
              <w:t>p-value</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JS13</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5.010</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0.927</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0.762</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7.840</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JS14</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5.253</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0.783</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0.932</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54.903</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JS15</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5.394</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0.708</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0.892</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19.823</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OC10</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5.626</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0.733</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0.643</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3.948</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OC2</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5.172</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0.922</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0.872</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22.173</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OC3</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5.010</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0.959</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0.840</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21.746</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OC4</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5.232</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1.013</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0.794</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12.797</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OC5</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5.561</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0.779</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0.838</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11.934</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OC6</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5.223</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0.835</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0.655</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3.882</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OC7</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5.262</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0.819</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0.854</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18.616</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OC8</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4.707</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1.130</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0.814</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25.193</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OCB16</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5.007</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0.745</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0.813</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21.712</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OCB17</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4.959</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0.875</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0.751</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15.489</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OCB18</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4.977</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0.829</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0.794</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10.931</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OCB19</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4.948</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0.744</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0.716</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12.511</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OCB20</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5.400</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0.609</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0.512</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5.844</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OCB21</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4.748</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0.976</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0.708</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7.316</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t>OCB22</w:t>
            </w:r>
          </w:p>
        </w:tc>
        <w:tc>
          <w:tcPr>
            <w:tcW w:w="1221"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4.690</w:t>
            </w:r>
          </w:p>
        </w:tc>
        <w:tc>
          <w:tcPr>
            <w:tcW w:w="1159"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0.974</w:t>
            </w:r>
          </w:p>
        </w:tc>
        <w:tc>
          <w:tcPr>
            <w:tcW w:w="1347"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0.738</w:t>
            </w:r>
          </w:p>
        </w:tc>
        <w:tc>
          <w:tcPr>
            <w:tcW w:w="938" w:type="dxa"/>
            <w:tcBorders>
              <w:top w:val="nil"/>
              <w:left w:val="nil"/>
              <w:bottom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7.941</w:t>
            </w:r>
          </w:p>
        </w:tc>
        <w:tc>
          <w:tcPr>
            <w:tcW w:w="995" w:type="dxa"/>
            <w:tcBorders>
              <w:top w:val="nil"/>
              <w:left w:val="nil"/>
              <w:bottom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heme="majorBidi" w:eastAsia="Times New Roman" w:hAnsiTheme="majorBidi" w:cstheme="majorBidi"/>
                <w:b/>
                <w:bCs/>
                <w:lang w:val="en-GB" w:eastAsia="en-GB"/>
              </w:rPr>
              <w:lastRenderedPageBreak/>
              <w:t>OCB23</w:t>
            </w:r>
          </w:p>
        </w:tc>
        <w:tc>
          <w:tcPr>
            <w:tcW w:w="1221" w:type="dxa"/>
            <w:tcBorders>
              <w:top w:val="nil"/>
              <w:left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4.538</w:t>
            </w:r>
          </w:p>
        </w:tc>
        <w:tc>
          <w:tcPr>
            <w:tcW w:w="1159" w:type="dxa"/>
            <w:tcBorders>
              <w:top w:val="nil"/>
              <w:left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1.326</w:t>
            </w:r>
          </w:p>
        </w:tc>
        <w:tc>
          <w:tcPr>
            <w:tcW w:w="1347" w:type="dxa"/>
            <w:tcBorders>
              <w:top w:val="nil"/>
              <w:left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0.728</w:t>
            </w:r>
          </w:p>
        </w:tc>
        <w:tc>
          <w:tcPr>
            <w:tcW w:w="938" w:type="dxa"/>
            <w:tcBorders>
              <w:top w:val="nil"/>
              <w:left w:val="nil"/>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14.109</w:t>
            </w:r>
          </w:p>
        </w:tc>
        <w:tc>
          <w:tcPr>
            <w:tcW w:w="995" w:type="dxa"/>
            <w:tcBorders>
              <w:top w:val="nil"/>
              <w:left w:val="nil"/>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r w:rsidR="00E1707D" w:rsidRPr="00850E34" w:rsidTr="00E1707D">
        <w:trPr>
          <w:trHeight w:val="300"/>
        </w:trPr>
        <w:tc>
          <w:tcPr>
            <w:tcW w:w="1080" w:type="dxa"/>
            <w:tcBorders>
              <w:top w:val="nil"/>
              <w:left w:val="nil"/>
              <w:bottom w:val="single" w:sz="4" w:space="0" w:color="7F7F7F" w:themeColor="text1" w:themeTint="80"/>
              <w:right w:val="nil"/>
            </w:tcBorders>
            <w:shd w:val="clear" w:color="auto" w:fill="auto"/>
            <w:noWrap/>
            <w:vAlign w:val="center"/>
            <w:hideMark/>
          </w:tcPr>
          <w:p w:rsidR="00E1707D" w:rsidRPr="00850E34" w:rsidRDefault="00E1707D" w:rsidP="00850E34">
            <w:pPr>
              <w:spacing w:after="0" w:line="360" w:lineRule="auto"/>
              <w:rPr>
                <w:rFonts w:asciiTheme="majorBidi" w:eastAsia="Times New Roman" w:hAnsiTheme="majorBidi" w:cstheme="majorBidi"/>
                <w:b/>
                <w:bCs/>
                <w:lang w:val="en-GB" w:eastAsia="en-GB"/>
              </w:rPr>
            </w:pPr>
            <w:r w:rsidRPr="00850E34">
              <w:rPr>
                <w:rFonts w:ascii="Tahoma" w:eastAsia="Times New Roman" w:hAnsi="Tahoma" w:cs="Tahoma"/>
                <w:b/>
                <w:bCs/>
                <w:lang w:val="en-GB" w:eastAsia="en-GB"/>
              </w:rPr>
              <w:t>﻿</w:t>
            </w:r>
            <w:r w:rsidRPr="00850E34">
              <w:rPr>
                <w:rFonts w:asciiTheme="majorBidi" w:eastAsia="Times New Roman" w:hAnsiTheme="majorBidi" w:cstheme="majorBidi"/>
                <w:b/>
                <w:bCs/>
                <w:lang w:val="en-GB" w:eastAsia="en-GB"/>
              </w:rPr>
              <w:t>OC1</w:t>
            </w:r>
          </w:p>
        </w:tc>
        <w:tc>
          <w:tcPr>
            <w:tcW w:w="1221" w:type="dxa"/>
            <w:tcBorders>
              <w:top w:val="nil"/>
              <w:left w:val="nil"/>
              <w:bottom w:val="single" w:sz="4" w:space="0" w:color="7F7F7F" w:themeColor="text1" w:themeTint="80"/>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5.283</w:t>
            </w:r>
          </w:p>
        </w:tc>
        <w:tc>
          <w:tcPr>
            <w:tcW w:w="1159" w:type="dxa"/>
            <w:tcBorders>
              <w:top w:val="nil"/>
              <w:left w:val="nil"/>
              <w:bottom w:val="single" w:sz="4" w:space="0" w:color="7F7F7F" w:themeColor="text1" w:themeTint="80"/>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0.711</w:t>
            </w:r>
          </w:p>
        </w:tc>
        <w:tc>
          <w:tcPr>
            <w:tcW w:w="1347" w:type="dxa"/>
            <w:tcBorders>
              <w:top w:val="nil"/>
              <w:left w:val="nil"/>
              <w:bottom w:val="single" w:sz="4" w:space="0" w:color="7F7F7F" w:themeColor="text1" w:themeTint="80"/>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0.742</w:t>
            </w:r>
          </w:p>
        </w:tc>
        <w:tc>
          <w:tcPr>
            <w:tcW w:w="938" w:type="dxa"/>
            <w:tcBorders>
              <w:top w:val="nil"/>
              <w:left w:val="nil"/>
              <w:bottom w:val="single" w:sz="4" w:space="0" w:color="7F7F7F" w:themeColor="text1" w:themeTint="80"/>
              <w:right w:val="nil"/>
            </w:tcBorders>
            <w:shd w:val="clear" w:color="auto" w:fill="auto"/>
            <w:noWrap/>
            <w:vAlign w:val="bottom"/>
            <w:hideMark/>
          </w:tcPr>
          <w:p w:rsidR="00E1707D" w:rsidRPr="00850E34" w:rsidRDefault="00E1707D" w:rsidP="00850E34">
            <w:pPr>
              <w:spacing w:after="0" w:line="360" w:lineRule="auto"/>
              <w:jc w:val="right"/>
              <w:rPr>
                <w:rFonts w:asciiTheme="majorBidi" w:eastAsia="Times New Roman" w:hAnsiTheme="majorBidi" w:cstheme="majorBidi"/>
                <w:color w:val="000000"/>
                <w:lang w:val="en-GB" w:eastAsia="en-GB"/>
              </w:rPr>
            </w:pPr>
            <w:r w:rsidRPr="00850E34">
              <w:rPr>
                <w:rFonts w:asciiTheme="majorBidi" w:eastAsia="Times New Roman" w:hAnsiTheme="majorBidi" w:cstheme="majorBidi"/>
                <w:color w:val="000000"/>
                <w:lang w:val="en-GB" w:eastAsia="en-GB"/>
              </w:rPr>
              <w:t>8.901</w:t>
            </w:r>
          </w:p>
        </w:tc>
        <w:tc>
          <w:tcPr>
            <w:tcW w:w="995" w:type="dxa"/>
            <w:tcBorders>
              <w:top w:val="nil"/>
              <w:left w:val="nil"/>
              <w:bottom w:val="single" w:sz="4" w:space="0" w:color="7F7F7F" w:themeColor="text1" w:themeTint="80"/>
              <w:right w:val="nil"/>
            </w:tcBorders>
            <w:shd w:val="clear" w:color="auto" w:fill="auto"/>
            <w:noWrap/>
            <w:vAlign w:val="center"/>
            <w:hideMark/>
          </w:tcPr>
          <w:p w:rsidR="00E1707D" w:rsidRPr="00850E34" w:rsidRDefault="00E1707D" w:rsidP="00850E34">
            <w:pPr>
              <w:spacing w:after="0" w:line="360" w:lineRule="auto"/>
              <w:jc w:val="right"/>
              <w:rPr>
                <w:rFonts w:asciiTheme="majorBidi" w:eastAsia="Times New Roman" w:hAnsiTheme="majorBidi" w:cstheme="majorBidi"/>
                <w:lang w:val="en-GB" w:eastAsia="en-GB"/>
              </w:rPr>
            </w:pPr>
            <w:r w:rsidRPr="00850E34">
              <w:rPr>
                <w:rFonts w:asciiTheme="majorBidi" w:eastAsia="Times New Roman" w:hAnsiTheme="majorBidi" w:cstheme="majorBidi"/>
                <w:lang w:val="en-GB" w:eastAsia="en-GB"/>
              </w:rPr>
              <w:t>0.000</w:t>
            </w:r>
          </w:p>
        </w:tc>
      </w:tr>
    </w:tbl>
    <w:p w:rsidR="00E1707D" w:rsidRPr="00850E34" w:rsidRDefault="00E1707D" w:rsidP="00850E34">
      <w:pPr>
        <w:tabs>
          <w:tab w:val="left" w:pos="3540"/>
        </w:tabs>
        <w:spacing w:line="360" w:lineRule="auto"/>
        <w:rPr>
          <w:rFonts w:asciiTheme="majorBidi" w:hAnsiTheme="majorBidi" w:cstheme="majorBidi"/>
          <w:b/>
        </w:rPr>
      </w:pPr>
    </w:p>
    <w:p w:rsidR="009C22E3" w:rsidRPr="00850E34" w:rsidRDefault="009C22E3" w:rsidP="00850E34">
      <w:pPr>
        <w:pStyle w:val="ListParagraph"/>
        <w:numPr>
          <w:ilvl w:val="1"/>
          <w:numId w:val="2"/>
        </w:numPr>
        <w:tabs>
          <w:tab w:val="left" w:pos="3540"/>
        </w:tabs>
        <w:spacing w:line="360" w:lineRule="auto"/>
        <w:rPr>
          <w:rFonts w:asciiTheme="majorBidi" w:hAnsiTheme="majorBidi" w:cstheme="majorBidi"/>
          <w:b/>
        </w:rPr>
      </w:pPr>
      <w:r w:rsidRPr="00850E34">
        <w:rPr>
          <w:rFonts w:asciiTheme="majorBidi" w:hAnsiTheme="majorBidi" w:cstheme="majorBidi"/>
          <w:b/>
        </w:rPr>
        <w:t>Descriptive Analysis</w:t>
      </w:r>
    </w:p>
    <w:p w:rsidR="00E425EB" w:rsidRPr="00850E34" w:rsidRDefault="00E425EB"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 xml:space="preserve">In the above table, </w:t>
      </w:r>
      <w:r w:rsidR="00704895" w:rsidRPr="00850E34">
        <w:rPr>
          <w:rFonts w:asciiTheme="majorBidi" w:hAnsiTheme="majorBidi" w:cstheme="majorBidi"/>
          <w:bCs/>
        </w:rPr>
        <w:t xml:space="preserve">variables are taken with descriptive statistics and confirmatory factor analysis. Organizational behaviour (OB) is independent </w:t>
      </w:r>
      <w:r w:rsidR="009C22E3" w:rsidRPr="00850E34">
        <w:rPr>
          <w:rFonts w:asciiTheme="majorBidi" w:hAnsiTheme="majorBidi" w:cstheme="majorBidi"/>
          <w:bCs/>
        </w:rPr>
        <w:t>variable</w:t>
      </w:r>
      <w:r w:rsidR="00704895" w:rsidRPr="00850E34">
        <w:rPr>
          <w:rFonts w:asciiTheme="majorBidi" w:hAnsiTheme="majorBidi" w:cstheme="majorBidi"/>
          <w:bCs/>
        </w:rPr>
        <w:t xml:space="preserve">, organizational citizenship behaviour (OCB) is dependent variable and Job satisfaction (JS) plays a mediating tole between this DV and IV. </w:t>
      </w:r>
      <w:r w:rsidRPr="00850E34">
        <w:rPr>
          <w:rFonts w:asciiTheme="majorBidi" w:hAnsiTheme="majorBidi" w:cstheme="majorBidi"/>
          <w:bCs/>
        </w:rPr>
        <w:t xml:space="preserve">JS has </w:t>
      </w:r>
      <w:r w:rsidR="00322677" w:rsidRPr="00850E34">
        <w:rPr>
          <w:rFonts w:asciiTheme="majorBidi" w:hAnsiTheme="majorBidi" w:cstheme="majorBidi"/>
          <w:bCs/>
        </w:rPr>
        <w:t>5 number of questions from which question no 11 &amp; 12 had been deleted due to having lower factor loading. The remaining 3 item</w:t>
      </w:r>
      <w:r w:rsidR="00704895" w:rsidRPr="00850E34">
        <w:rPr>
          <w:rFonts w:asciiTheme="majorBidi" w:hAnsiTheme="majorBidi" w:cstheme="majorBidi"/>
          <w:bCs/>
        </w:rPr>
        <w:t xml:space="preserve">s range from 5.010 to 5.394 with SD from 0.927 to 0.708 indicating data is not dispersed and are close to the mean value. </w:t>
      </w:r>
      <w:r w:rsidR="00B8209E" w:rsidRPr="00850E34">
        <w:rPr>
          <w:rFonts w:asciiTheme="majorBidi" w:hAnsiTheme="majorBidi" w:cstheme="majorBidi"/>
          <w:bCs/>
        </w:rPr>
        <w:t>The mean value of OC ranges from 5.283 to 5.626</w:t>
      </w:r>
      <w:r w:rsidR="00D63A96" w:rsidRPr="00850E34">
        <w:rPr>
          <w:rFonts w:asciiTheme="majorBidi" w:hAnsiTheme="majorBidi" w:cstheme="majorBidi"/>
          <w:bCs/>
        </w:rPr>
        <w:t xml:space="preserve"> with SD ranges from 0.711 to 1.130. The</w:t>
      </w:r>
      <w:r w:rsidR="00B8209E" w:rsidRPr="00850E34">
        <w:rPr>
          <w:rFonts w:asciiTheme="majorBidi" w:hAnsiTheme="majorBidi" w:cstheme="majorBidi"/>
          <w:bCs/>
        </w:rPr>
        <w:t xml:space="preserve"> mean value of OCB ranges from 5.007 to 4.538 with SD from 0.745 to 1.326 that shows slight </w:t>
      </w:r>
      <w:r w:rsidR="00D63A96" w:rsidRPr="00850E34">
        <w:rPr>
          <w:rFonts w:asciiTheme="majorBidi" w:hAnsiTheme="majorBidi" w:cstheme="majorBidi"/>
          <w:bCs/>
        </w:rPr>
        <w:t xml:space="preserve">neutrality of the responses. </w:t>
      </w:r>
    </w:p>
    <w:p w:rsidR="009C22E3" w:rsidRPr="00850E34" w:rsidRDefault="009C22E3" w:rsidP="00850E34">
      <w:pPr>
        <w:pStyle w:val="ListParagraph"/>
        <w:numPr>
          <w:ilvl w:val="1"/>
          <w:numId w:val="2"/>
        </w:numPr>
        <w:tabs>
          <w:tab w:val="left" w:pos="3540"/>
        </w:tabs>
        <w:spacing w:line="360" w:lineRule="auto"/>
        <w:rPr>
          <w:rFonts w:asciiTheme="majorBidi" w:hAnsiTheme="majorBidi" w:cstheme="majorBidi"/>
          <w:b/>
        </w:rPr>
      </w:pPr>
      <w:r w:rsidRPr="00850E34">
        <w:rPr>
          <w:rFonts w:asciiTheme="majorBidi" w:hAnsiTheme="majorBidi" w:cstheme="majorBidi"/>
          <w:b/>
        </w:rPr>
        <w:t xml:space="preserve">Confirmatory Factor Analysis </w:t>
      </w:r>
    </w:p>
    <w:p w:rsidR="00364B6E" w:rsidRPr="00850E34" w:rsidRDefault="00364B6E"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 xml:space="preserve">The second header of Table 1 displays Confirmatory factor loadings with outer loadings. Constructs having loadings of 0.5 and greater are considered strong variables whereas loadings below 0.5 are considered weak. Weak loadings should be removed from the table. Two items JS11 and JS12 from the variable of job satisfaction have been removed due to lower outer loading. Moreover, one item OC9 from the variable organizational behaviour </w:t>
      </w:r>
      <w:r w:rsidR="00D36E3E" w:rsidRPr="00850E34">
        <w:rPr>
          <w:rFonts w:asciiTheme="majorBidi" w:hAnsiTheme="majorBidi" w:cstheme="majorBidi"/>
          <w:bCs/>
        </w:rPr>
        <w:t>is removed for the same reason. Resultantly,a</w:t>
      </w:r>
      <w:r w:rsidRPr="00850E34">
        <w:rPr>
          <w:rFonts w:asciiTheme="majorBidi" w:hAnsiTheme="majorBidi" w:cstheme="majorBidi"/>
          <w:bCs/>
        </w:rPr>
        <w:t>ll the construct’s factor loadings meet the criteria of being equal to or greater than 0.5.</w:t>
      </w:r>
    </w:p>
    <w:p w:rsidR="00405601" w:rsidRPr="00850E34" w:rsidRDefault="00405601"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 xml:space="preserve">T statistics identifies the discrepancy between the means of two groups. It is used to test hypothesis. The higher the t statistics the greater is the corroboration in favor of alternative hypothesis. All the items surpassed threshold value of t-stats which 1.96 at 5% confidence interval.  P value &lt; 0.05 </w:t>
      </w:r>
      <w:r w:rsidR="00D64DAF">
        <w:rPr>
          <w:rFonts w:asciiTheme="majorBidi" w:hAnsiTheme="majorBidi" w:cstheme="majorBidi"/>
          <w:bCs/>
        </w:rPr>
        <w:t>is considered sognificant</w:t>
      </w:r>
      <w:r w:rsidRPr="00850E34">
        <w:rPr>
          <w:rFonts w:asciiTheme="majorBidi" w:hAnsiTheme="majorBidi" w:cstheme="majorBidi"/>
          <w:bCs/>
        </w:rPr>
        <w:t xml:space="preserve">. P value 0.00 means the variable is quite significant. Since all items in the table have a p value=0.000 indicate significance of variables. </w:t>
      </w:r>
    </w:p>
    <w:p w:rsidR="001502C5" w:rsidRPr="00850E34" w:rsidRDefault="004137B4" w:rsidP="00850E34">
      <w:pPr>
        <w:spacing w:line="360" w:lineRule="auto"/>
        <w:rPr>
          <w:rFonts w:asciiTheme="majorBidi" w:hAnsiTheme="majorBidi" w:cstheme="majorBidi"/>
          <w:b/>
          <w:sz w:val="24"/>
          <w:szCs w:val="24"/>
        </w:rPr>
      </w:pPr>
      <w:r w:rsidRPr="00850E34">
        <w:rPr>
          <w:rFonts w:asciiTheme="majorBidi" w:hAnsiTheme="majorBidi" w:cstheme="majorBidi"/>
          <w:b/>
          <w:sz w:val="24"/>
          <w:szCs w:val="24"/>
        </w:rPr>
        <w:t>Table 2</w:t>
      </w:r>
    </w:p>
    <w:p w:rsidR="009C22E3" w:rsidRDefault="009C22E3" w:rsidP="00850E34">
      <w:pPr>
        <w:spacing w:line="360" w:lineRule="auto"/>
        <w:rPr>
          <w:rFonts w:asciiTheme="majorBidi" w:hAnsiTheme="majorBidi" w:cstheme="majorBidi"/>
          <w:i/>
          <w:iCs/>
        </w:rPr>
      </w:pPr>
      <w:r w:rsidRPr="00850E34">
        <w:rPr>
          <w:rFonts w:asciiTheme="majorBidi" w:hAnsiTheme="majorBidi" w:cstheme="majorBidi"/>
          <w:i/>
          <w:iCs/>
        </w:rPr>
        <w:t>Convergent Validity</w:t>
      </w:r>
    </w:p>
    <w:p w:rsidR="00673F5A" w:rsidRPr="00840F84" w:rsidRDefault="00840F84" w:rsidP="00840F84">
      <w:pPr>
        <w:spacing w:line="360" w:lineRule="auto"/>
        <w:rPr>
          <w:rFonts w:asciiTheme="majorBidi" w:hAnsiTheme="majorBidi" w:cstheme="majorBidi"/>
          <w:i/>
          <w:iCs/>
        </w:rPr>
      </w:pPr>
      <w:r w:rsidRPr="00840F84">
        <w:rPr>
          <w:noProof/>
        </w:rPr>
        <w:lastRenderedPageBreak/>
        <w:drawing>
          <wp:inline distT="0" distB="0" distL="0" distR="0">
            <wp:extent cx="3800475" cy="1428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00475" cy="1428750"/>
                    </a:xfrm>
                    <a:prstGeom prst="rect">
                      <a:avLst/>
                    </a:prstGeom>
                    <a:noFill/>
                    <a:ln>
                      <a:noFill/>
                    </a:ln>
                  </pic:spPr>
                </pic:pic>
              </a:graphicData>
            </a:graphic>
          </wp:inline>
        </w:drawing>
      </w:r>
    </w:p>
    <w:p w:rsidR="00850E34" w:rsidRPr="00850E34" w:rsidRDefault="00850E34" w:rsidP="00850E34">
      <w:pPr>
        <w:pStyle w:val="ListParagraph"/>
        <w:numPr>
          <w:ilvl w:val="1"/>
          <w:numId w:val="3"/>
        </w:numPr>
        <w:tabs>
          <w:tab w:val="left" w:pos="3540"/>
        </w:tabs>
        <w:spacing w:line="360" w:lineRule="auto"/>
        <w:rPr>
          <w:rFonts w:asciiTheme="majorBidi" w:hAnsiTheme="majorBidi" w:cstheme="majorBidi"/>
          <w:b/>
        </w:rPr>
      </w:pPr>
      <w:r w:rsidRPr="00850E34">
        <w:rPr>
          <w:rFonts w:asciiTheme="majorBidi" w:hAnsiTheme="majorBidi" w:cstheme="majorBidi"/>
          <w:b/>
        </w:rPr>
        <w:t>Cronbach Alpha</w:t>
      </w:r>
    </w:p>
    <w:p w:rsidR="00850E34" w:rsidRPr="00850E34" w:rsidRDefault="00D64DAF" w:rsidP="009F7529">
      <w:pPr>
        <w:tabs>
          <w:tab w:val="left" w:pos="3540"/>
        </w:tabs>
        <w:spacing w:line="360" w:lineRule="auto"/>
        <w:jc w:val="both"/>
        <w:rPr>
          <w:rFonts w:asciiTheme="majorBidi" w:hAnsiTheme="majorBidi" w:cstheme="majorBidi"/>
          <w:bCs/>
        </w:rPr>
      </w:pPr>
      <w:r>
        <w:rPr>
          <w:rFonts w:asciiTheme="majorBidi" w:hAnsiTheme="majorBidi" w:cstheme="majorBidi"/>
          <w:bCs/>
        </w:rPr>
        <w:t xml:space="preserve">The reliability of constructs’ internal consistency is ensured by </w:t>
      </w:r>
      <w:r w:rsidR="00850E34" w:rsidRPr="00850E34">
        <w:rPr>
          <w:rFonts w:asciiTheme="majorBidi" w:hAnsiTheme="majorBidi" w:cstheme="majorBidi"/>
          <w:bCs/>
        </w:rPr>
        <w:t xml:space="preserve">Cronbach’s alpha </w:t>
      </w:r>
      <w:r>
        <w:rPr>
          <w:rFonts w:asciiTheme="majorBidi" w:hAnsiTheme="majorBidi" w:cstheme="majorBidi"/>
          <w:bCs/>
        </w:rPr>
        <w:t>.</w:t>
      </w:r>
      <w:r w:rsidR="00850E34" w:rsidRPr="00850E34">
        <w:rPr>
          <w:rFonts w:asciiTheme="majorBidi" w:hAnsiTheme="majorBidi" w:cstheme="majorBidi"/>
          <w:bCs/>
        </w:rPr>
        <w:t>The ideal range of CA is to between 0.7 to 1. All the constructs shown above in the table falls in the ideal range which reflects consistency and reliability of data.</w:t>
      </w:r>
    </w:p>
    <w:p w:rsidR="00850E34" w:rsidRPr="00850E34" w:rsidRDefault="00850E34" w:rsidP="00850E34">
      <w:pPr>
        <w:pStyle w:val="ListParagraph"/>
        <w:numPr>
          <w:ilvl w:val="1"/>
          <w:numId w:val="3"/>
        </w:numPr>
        <w:tabs>
          <w:tab w:val="left" w:pos="3540"/>
        </w:tabs>
        <w:spacing w:line="360" w:lineRule="auto"/>
        <w:rPr>
          <w:rFonts w:asciiTheme="majorBidi" w:hAnsiTheme="majorBidi" w:cstheme="majorBidi"/>
          <w:b/>
        </w:rPr>
      </w:pPr>
      <w:r w:rsidRPr="00850E34">
        <w:rPr>
          <w:rFonts w:asciiTheme="majorBidi" w:hAnsiTheme="majorBidi" w:cstheme="majorBidi"/>
          <w:b/>
        </w:rPr>
        <w:t>Spearman Rank Correlation</w:t>
      </w:r>
    </w:p>
    <w:p w:rsidR="00850E34" w:rsidRPr="00850E34" w:rsidRDefault="00850E34" w:rsidP="009F7529">
      <w:pPr>
        <w:tabs>
          <w:tab w:val="left" w:pos="3540"/>
        </w:tabs>
        <w:spacing w:line="360" w:lineRule="auto"/>
        <w:jc w:val="both"/>
        <w:rPr>
          <w:rFonts w:asciiTheme="majorBidi" w:hAnsiTheme="majorBidi" w:cstheme="majorBidi"/>
          <w:b/>
        </w:rPr>
      </w:pPr>
      <w:r w:rsidRPr="00850E34">
        <w:rPr>
          <w:rFonts w:asciiTheme="majorBidi" w:hAnsiTheme="majorBidi" w:cstheme="majorBidi"/>
          <w:bCs/>
        </w:rPr>
        <w:t>Spearman rank correlation rho A (next to Cronbach’s alpha’s column) shows the strength of connection between two factors.  All the constructs have values more than 0.8 which indicates a strong association between the variables.</w:t>
      </w:r>
    </w:p>
    <w:p w:rsidR="009C22E3" w:rsidRPr="00850E34" w:rsidRDefault="009C22E3" w:rsidP="009F7529">
      <w:pPr>
        <w:pStyle w:val="ListParagraph"/>
        <w:numPr>
          <w:ilvl w:val="1"/>
          <w:numId w:val="3"/>
        </w:numPr>
        <w:tabs>
          <w:tab w:val="left" w:pos="3540"/>
        </w:tabs>
        <w:spacing w:line="360" w:lineRule="auto"/>
        <w:jc w:val="both"/>
        <w:rPr>
          <w:rFonts w:asciiTheme="majorBidi" w:hAnsiTheme="majorBidi" w:cstheme="majorBidi"/>
          <w:b/>
        </w:rPr>
      </w:pPr>
      <w:r w:rsidRPr="00850E34">
        <w:rPr>
          <w:rFonts w:asciiTheme="majorBidi" w:hAnsiTheme="majorBidi" w:cstheme="majorBidi"/>
          <w:b/>
        </w:rPr>
        <w:t xml:space="preserve">Composite Reliability </w:t>
      </w:r>
    </w:p>
    <w:p w:rsidR="009C22E3" w:rsidRPr="00850E34" w:rsidRDefault="00F8141C"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 xml:space="preserve">The reliability and validity </w:t>
      </w:r>
      <w:r w:rsidR="00962D05" w:rsidRPr="00850E34">
        <w:rPr>
          <w:rFonts w:asciiTheme="majorBidi" w:hAnsiTheme="majorBidi" w:cstheme="majorBidi"/>
          <w:bCs/>
        </w:rPr>
        <w:t>are</w:t>
      </w:r>
      <w:r w:rsidRPr="00850E34">
        <w:rPr>
          <w:rFonts w:asciiTheme="majorBidi" w:hAnsiTheme="majorBidi" w:cstheme="majorBidi"/>
          <w:bCs/>
        </w:rPr>
        <w:t xml:space="preserve"> shown in the above table. Results are satisfactory when constructs have composite reliability greater than 0.7. In the above table all the constructs have CR greater than 0.7 which is good indicator and posit the reliability of the scale. </w:t>
      </w:r>
    </w:p>
    <w:p w:rsidR="009C22E3" w:rsidRPr="00850E34" w:rsidRDefault="009C22E3" w:rsidP="009F7529">
      <w:pPr>
        <w:pStyle w:val="ListParagraph"/>
        <w:numPr>
          <w:ilvl w:val="1"/>
          <w:numId w:val="3"/>
        </w:numPr>
        <w:tabs>
          <w:tab w:val="left" w:pos="3540"/>
        </w:tabs>
        <w:spacing w:line="360" w:lineRule="auto"/>
        <w:jc w:val="both"/>
        <w:rPr>
          <w:rFonts w:asciiTheme="majorBidi" w:hAnsiTheme="majorBidi" w:cstheme="majorBidi"/>
          <w:b/>
        </w:rPr>
      </w:pPr>
      <w:r w:rsidRPr="00850E34">
        <w:rPr>
          <w:rFonts w:asciiTheme="majorBidi" w:hAnsiTheme="majorBidi" w:cstheme="majorBidi"/>
          <w:b/>
        </w:rPr>
        <w:t>Average Variance Extract</w:t>
      </w:r>
    </w:p>
    <w:p w:rsidR="00F8141C" w:rsidRPr="00850E34" w:rsidRDefault="00962D05"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AVE is performed to determine the degree of correlation between two constructs</w:t>
      </w:r>
      <w:r w:rsidR="00F8141C" w:rsidRPr="00850E34">
        <w:rPr>
          <w:rFonts w:asciiTheme="majorBidi" w:hAnsiTheme="majorBidi" w:cstheme="majorBidi"/>
          <w:bCs/>
        </w:rPr>
        <w:t>.</w:t>
      </w:r>
      <w:r w:rsidRPr="00850E34">
        <w:rPr>
          <w:rFonts w:asciiTheme="majorBidi" w:hAnsiTheme="majorBidi" w:cstheme="majorBidi"/>
          <w:bCs/>
        </w:rPr>
        <w:t xml:space="preserve"> The minimum threshold value for AVE is 0.5, since</w:t>
      </w:r>
      <w:r w:rsidR="00F8141C" w:rsidRPr="00850E34">
        <w:rPr>
          <w:rFonts w:asciiTheme="majorBidi" w:hAnsiTheme="majorBidi" w:cstheme="majorBidi"/>
          <w:bCs/>
        </w:rPr>
        <w:t xml:space="preserve"> AVE values for </w:t>
      </w:r>
      <w:r w:rsidRPr="00850E34">
        <w:rPr>
          <w:rFonts w:asciiTheme="majorBidi" w:hAnsiTheme="majorBidi" w:cstheme="majorBidi"/>
          <w:bCs/>
        </w:rPr>
        <w:t>JS, OC and OCB</w:t>
      </w:r>
      <w:r w:rsidR="00F8141C" w:rsidRPr="00850E34">
        <w:rPr>
          <w:rFonts w:asciiTheme="majorBidi" w:hAnsiTheme="majorBidi" w:cstheme="majorBidi"/>
          <w:bCs/>
        </w:rPr>
        <w:t xml:space="preserve"> all are above 0.5, which indicates the data support convergent validity.</w:t>
      </w:r>
    </w:p>
    <w:p w:rsidR="00FB48CE" w:rsidRPr="00850E34" w:rsidRDefault="001502C5" w:rsidP="00850E34">
      <w:pPr>
        <w:spacing w:line="360" w:lineRule="auto"/>
        <w:rPr>
          <w:rFonts w:asciiTheme="majorBidi" w:hAnsiTheme="majorBidi" w:cstheme="majorBidi"/>
          <w:b/>
          <w:sz w:val="24"/>
          <w:szCs w:val="24"/>
        </w:rPr>
      </w:pPr>
      <w:r w:rsidRPr="00850E34">
        <w:rPr>
          <w:rFonts w:asciiTheme="majorBidi" w:hAnsiTheme="majorBidi" w:cstheme="majorBidi"/>
          <w:b/>
          <w:sz w:val="24"/>
          <w:szCs w:val="24"/>
        </w:rPr>
        <w:t xml:space="preserve">Table </w:t>
      </w:r>
      <w:r w:rsidR="004137B4" w:rsidRPr="00850E34">
        <w:rPr>
          <w:rFonts w:asciiTheme="majorBidi" w:hAnsiTheme="majorBidi" w:cstheme="majorBidi"/>
          <w:b/>
          <w:sz w:val="24"/>
          <w:szCs w:val="24"/>
        </w:rPr>
        <w:t>3</w:t>
      </w:r>
    </w:p>
    <w:p w:rsidR="009C22E3" w:rsidRDefault="00D64DAF" w:rsidP="00850E34">
      <w:pPr>
        <w:spacing w:line="360" w:lineRule="auto"/>
        <w:rPr>
          <w:rFonts w:asciiTheme="majorBidi" w:hAnsiTheme="majorBidi" w:cstheme="majorBidi"/>
          <w:i/>
          <w:iCs/>
        </w:rPr>
      </w:pPr>
      <w:r>
        <w:rPr>
          <w:rFonts w:asciiTheme="majorBidi" w:hAnsiTheme="majorBidi" w:cstheme="majorBidi"/>
          <w:i/>
          <w:iCs/>
        </w:rPr>
        <w:t>Fornell-Larcker Criterion (</w:t>
      </w:r>
      <w:r w:rsidR="009C22E3" w:rsidRPr="00850E34">
        <w:rPr>
          <w:rFonts w:asciiTheme="majorBidi" w:hAnsiTheme="majorBidi" w:cstheme="majorBidi"/>
          <w:i/>
          <w:iCs/>
        </w:rPr>
        <w:t>Discriminant Validity</w:t>
      </w:r>
      <w:r>
        <w:rPr>
          <w:rFonts w:asciiTheme="majorBidi" w:hAnsiTheme="majorBidi" w:cstheme="majorBidi"/>
          <w:i/>
          <w:iCs/>
        </w:rPr>
        <w:t>)</w:t>
      </w:r>
    </w:p>
    <w:p w:rsidR="00405601" w:rsidRPr="00056A68" w:rsidRDefault="00056A68" w:rsidP="00056A68">
      <w:pPr>
        <w:spacing w:line="360" w:lineRule="auto"/>
        <w:rPr>
          <w:rFonts w:asciiTheme="majorBidi" w:hAnsiTheme="majorBidi" w:cstheme="majorBidi"/>
          <w:i/>
          <w:iCs/>
        </w:rPr>
      </w:pPr>
      <w:r w:rsidRPr="00056A68">
        <w:rPr>
          <w:noProof/>
        </w:rPr>
        <w:drawing>
          <wp:inline distT="0" distB="0" distL="0" distR="0">
            <wp:extent cx="3076575" cy="990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6575" cy="990600"/>
                    </a:xfrm>
                    <a:prstGeom prst="rect">
                      <a:avLst/>
                    </a:prstGeom>
                    <a:noFill/>
                    <a:ln>
                      <a:noFill/>
                    </a:ln>
                  </pic:spPr>
                </pic:pic>
              </a:graphicData>
            </a:graphic>
          </wp:inline>
        </w:drawing>
      </w:r>
    </w:p>
    <w:p w:rsidR="00393E46" w:rsidRPr="00393E46" w:rsidRDefault="00393E46" w:rsidP="009F7529">
      <w:pPr>
        <w:tabs>
          <w:tab w:val="left" w:pos="3540"/>
        </w:tabs>
        <w:spacing w:line="360" w:lineRule="auto"/>
        <w:jc w:val="both"/>
        <w:rPr>
          <w:rFonts w:asciiTheme="majorBidi" w:hAnsiTheme="majorBidi" w:cstheme="majorBidi"/>
          <w:b/>
          <w:bCs/>
        </w:rPr>
      </w:pPr>
      <w:r w:rsidRPr="00393E46">
        <w:rPr>
          <w:rFonts w:asciiTheme="majorBidi" w:hAnsiTheme="majorBidi" w:cstheme="majorBidi"/>
          <w:b/>
          <w:bCs/>
        </w:rPr>
        <w:lastRenderedPageBreak/>
        <w:t>Fornell-Larcker Criterion</w:t>
      </w:r>
    </w:p>
    <w:p w:rsidR="001502C5" w:rsidRPr="00850E34" w:rsidRDefault="00405601"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 xml:space="preserve">Discriminant validity measures whether the constructs are correlated or not. It ensures the existence of a strong relationship between a construct with its own indicators (Carmines and Zeller, 1979). In discriminant validity relationship between latent variables is analyzed. When AVE loadings are more than 0.5 discriminant validity results are acceptable. </w:t>
      </w:r>
    </w:p>
    <w:p w:rsidR="001502C5" w:rsidRPr="00850E34" w:rsidRDefault="001502C5" w:rsidP="00850E34">
      <w:pPr>
        <w:spacing w:line="360" w:lineRule="auto"/>
        <w:rPr>
          <w:rFonts w:asciiTheme="majorBidi" w:hAnsiTheme="majorBidi" w:cstheme="majorBidi"/>
          <w:b/>
          <w:sz w:val="24"/>
          <w:szCs w:val="24"/>
        </w:rPr>
      </w:pPr>
      <w:r w:rsidRPr="00850E34">
        <w:rPr>
          <w:rFonts w:asciiTheme="majorBidi" w:hAnsiTheme="majorBidi" w:cstheme="majorBidi"/>
          <w:b/>
          <w:sz w:val="24"/>
          <w:szCs w:val="24"/>
        </w:rPr>
        <w:t>Table</w:t>
      </w:r>
      <w:r w:rsidR="00952B45" w:rsidRPr="00850E34">
        <w:rPr>
          <w:rFonts w:asciiTheme="majorBidi" w:hAnsiTheme="majorBidi" w:cstheme="majorBidi"/>
          <w:b/>
          <w:sz w:val="24"/>
          <w:szCs w:val="24"/>
        </w:rPr>
        <w:t xml:space="preserve"> 4</w:t>
      </w:r>
    </w:p>
    <w:p w:rsidR="00952B45" w:rsidRDefault="00D64DAF" w:rsidP="00850E34">
      <w:pPr>
        <w:spacing w:line="360" w:lineRule="auto"/>
        <w:rPr>
          <w:rFonts w:asciiTheme="majorBidi" w:hAnsiTheme="majorBidi" w:cstheme="majorBidi"/>
          <w:i/>
          <w:iCs/>
        </w:rPr>
      </w:pPr>
      <w:r>
        <w:rPr>
          <w:rFonts w:asciiTheme="majorBidi" w:hAnsiTheme="majorBidi" w:cstheme="majorBidi"/>
          <w:i/>
          <w:iCs/>
        </w:rPr>
        <w:t>HTMT Ratio (</w:t>
      </w:r>
      <w:r w:rsidR="00952B45" w:rsidRPr="00850E34">
        <w:rPr>
          <w:rFonts w:asciiTheme="majorBidi" w:hAnsiTheme="majorBidi" w:cstheme="majorBidi"/>
          <w:i/>
          <w:iCs/>
        </w:rPr>
        <w:t>Discriminant Validity</w:t>
      </w:r>
      <w:r>
        <w:rPr>
          <w:rFonts w:asciiTheme="majorBidi" w:hAnsiTheme="majorBidi" w:cstheme="majorBidi"/>
          <w:i/>
          <w:iCs/>
        </w:rPr>
        <w:t>)</w:t>
      </w:r>
    </w:p>
    <w:p w:rsidR="009F7529" w:rsidRPr="00056A68" w:rsidRDefault="00056A68" w:rsidP="00056A68">
      <w:pPr>
        <w:spacing w:line="360" w:lineRule="auto"/>
        <w:rPr>
          <w:rFonts w:asciiTheme="majorBidi" w:hAnsiTheme="majorBidi" w:cstheme="majorBidi"/>
          <w:b/>
          <w:i/>
          <w:iCs/>
        </w:rPr>
      </w:pPr>
      <w:r w:rsidRPr="00056A68">
        <w:rPr>
          <w:noProof/>
        </w:rPr>
        <w:drawing>
          <wp:inline distT="0" distB="0" distL="0" distR="0">
            <wp:extent cx="3076575" cy="904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6575" cy="904875"/>
                    </a:xfrm>
                    <a:prstGeom prst="rect">
                      <a:avLst/>
                    </a:prstGeom>
                    <a:noFill/>
                    <a:ln>
                      <a:noFill/>
                    </a:ln>
                  </pic:spPr>
                </pic:pic>
              </a:graphicData>
            </a:graphic>
          </wp:inline>
        </w:drawing>
      </w:r>
    </w:p>
    <w:p w:rsidR="00393E46" w:rsidRPr="00393E46" w:rsidRDefault="00393E46" w:rsidP="00393E46">
      <w:pPr>
        <w:tabs>
          <w:tab w:val="left" w:pos="3540"/>
        </w:tabs>
        <w:spacing w:line="360" w:lineRule="auto"/>
        <w:jc w:val="both"/>
        <w:rPr>
          <w:rFonts w:asciiTheme="majorBidi" w:hAnsiTheme="majorBidi" w:cstheme="majorBidi"/>
          <w:b/>
          <w:bCs/>
        </w:rPr>
      </w:pPr>
      <w:r w:rsidRPr="00393E46">
        <w:rPr>
          <w:rFonts w:asciiTheme="majorBidi" w:hAnsiTheme="majorBidi" w:cstheme="majorBidi"/>
          <w:b/>
          <w:bCs/>
        </w:rPr>
        <w:t>Heterotrait-Monotrait Ratio, HTMT</w:t>
      </w:r>
    </w:p>
    <w:p w:rsidR="00963940" w:rsidRDefault="00B8209E" w:rsidP="009F7529">
      <w:pPr>
        <w:tabs>
          <w:tab w:val="left" w:pos="3540"/>
        </w:tabs>
        <w:spacing w:line="360" w:lineRule="auto"/>
        <w:jc w:val="both"/>
        <w:rPr>
          <w:rFonts w:asciiTheme="majorBidi" w:hAnsiTheme="majorBidi" w:cstheme="majorBidi"/>
          <w:bCs/>
        </w:rPr>
      </w:pPr>
      <w:r w:rsidRPr="00850E34">
        <w:rPr>
          <w:rFonts w:asciiTheme="majorBidi" w:hAnsiTheme="majorBidi" w:cstheme="majorBidi"/>
          <w:bCs/>
        </w:rPr>
        <w:t>HTMT ratio is another method to check discriminant validity. In HTMT values less than 1 means positive discriminant validity. In the above table all the constructs have values less than 1 which means the validity is proved.</w:t>
      </w:r>
    </w:p>
    <w:p w:rsidR="00970E0E" w:rsidRPr="009F7529" w:rsidRDefault="00970E0E" w:rsidP="009F7529">
      <w:pPr>
        <w:spacing w:line="360" w:lineRule="auto"/>
        <w:rPr>
          <w:rFonts w:asciiTheme="majorBidi" w:hAnsiTheme="majorBidi" w:cstheme="majorBidi"/>
          <w:b/>
          <w:sz w:val="24"/>
          <w:szCs w:val="24"/>
        </w:rPr>
      </w:pPr>
      <w:r w:rsidRPr="009F7529">
        <w:rPr>
          <w:rFonts w:asciiTheme="majorBidi" w:hAnsiTheme="majorBidi" w:cstheme="majorBidi"/>
          <w:b/>
          <w:sz w:val="24"/>
          <w:szCs w:val="24"/>
        </w:rPr>
        <w:t>References</w:t>
      </w:r>
    </w:p>
    <w:p w:rsidR="009F7529" w:rsidRPr="009F7529" w:rsidRDefault="009F7529" w:rsidP="009F7529">
      <w:pPr>
        <w:tabs>
          <w:tab w:val="left" w:pos="3540"/>
        </w:tabs>
        <w:spacing w:line="480" w:lineRule="auto"/>
        <w:ind w:left="284" w:hanging="284"/>
        <w:rPr>
          <w:rFonts w:asciiTheme="majorBidi" w:hAnsiTheme="majorBidi" w:cstheme="majorBidi"/>
          <w:bCs/>
        </w:rPr>
      </w:pPr>
      <w:r w:rsidRPr="009F7529">
        <w:rPr>
          <w:rFonts w:asciiTheme="majorBidi" w:hAnsiTheme="majorBidi" w:cstheme="majorBidi"/>
          <w:bCs/>
        </w:rPr>
        <w:t>Borsboom, D., Mellenbergh, G. J., &amp; van Heerden, J. (2003). The theoretical status of latent variables. Psychological Review, 110(2), 203–219</w:t>
      </w:r>
    </w:p>
    <w:p w:rsidR="009F7529" w:rsidRDefault="009F7529" w:rsidP="009F7529">
      <w:pPr>
        <w:spacing w:line="480" w:lineRule="auto"/>
        <w:ind w:left="284" w:right="1180" w:hanging="284"/>
        <w:jc w:val="both"/>
        <w:rPr>
          <w:sz w:val="24"/>
        </w:rPr>
      </w:pPr>
      <w:r>
        <w:rPr>
          <w:sz w:val="24"/>
        </w:rPr>
        <w:t xml:space="preserve">Carmines, E. G., &amp; Zeller, R. (1979). </w:t>
      </w:r>
      <w:r>
        <w:rPr>
          <w:i/>
          <w:sz w:val="24"/>
        </w:rPr>
        <w:t>Reliability and Validity Assessment</w:t>
      </w:r>
      <w:r>
        <w:rPr>
          <w:sz w:val="24"/>
        </w:rPr>
        <w:t>. Sage publication, Inc.</w:t>
      </w:r>
    </w:p>
    <w:p w:rsidR="009F7529" w:rsidRDefault="009F7529" w:rsidP="009F7529">
      <w:pPr>
        <w:tabs>
          <w:tab w:val="left" w:pos="3540"/>
        </w:tabs>
        <w:spacing w:line="480" w:lineRule="auto"/>
        <w:ind w:left="284" w:hanging="284"/>
        <w:rPr>
          <w:rFonts w:asciiTheme="majorBidi" w:hAnsiTheme="majorBidi" w:cstheme="majorBidi"/>
          <w:bCs/>
        </w:rPr>
      </w:pPr>
      <w:r w:rsidRPr="00970E0E">
        <w:rPr>
          <w:rFonts w:asciiTheme="majorBidi" w:hAnsiTheme="majorBidi" w:cstheme="majorBidi"/>
          <w:bCs/>
        </w:rPr>
        <w:t>Dijkstra, T. K. (2010). Latent Variables and Indices: Herman Wold’s Basic Design and Partial Least Squares, in Handbook of Partial Least Squares: Concepts, Methods and Applications (Springer Handbooks of Computational Statistics Series, vol. II), V. Esposito Vinzi, W. W. Chin, J. Henseler and H. Wang (eds.), Springer: Heidelberg, Dordrecht, London, New York, pp. 23-46.</w:t>
      </w:r>
    </w:p>
    <w:p w:rsidR="009F7529" w:rsidRDefault="009F7529" w:rsidP="009F7529">
      <w:pPr>
        <w:tabs>
          <w:tab w:val="left" w:pos="3540"/>
        </w:tabs>
        <w:spacing w:line="480" w:lineRule="auto"/>
        <w:ind w:left="284" w:hanging="284"/>
        <w:rPr>
          <w:rFonts w:asciiTheme="majorBidi" w:hAnsiTheme="majorBidi" w:cstheme="majorBidi"/>
          <w:bCs/>
        </w:rPr>
      </w:pPr>
      <w:r w:rsidRPr="009F7529">
        <w:rPr>
          <w:rFonts w:asciiTheme="majorBidi" w:hAnsiTheme="majorBidi" w:cstheme="majorBidi"/>
          <w:bCs/>
        </w:rPr>
        <w:t>Edwards, J.R. and R.P. Bagozzi (2000). "On the nature and direction of relationships between constructs and measures," Psychological Methods, 5:2, pp. 155–174</w:t>
      </w:r>
    </w:p>
    <w:p w:rsidR="009F7529" w:rsidRPr="00970E0E" w:rsidRDefault="009F7529" w:rsidP="009F7529">
      <w:pPr>
        <w:tabs>
          <w:tab w:val="left" w:pos="3540"/>
        </w:tabs>
        <w:spacing w:line="480" w:lineRule="auto"/>
        <w:ind w:left="284" w:hanging="284"/>
        <w:rPr>
          <w:rFonts w:asciiTheme="majorBidi" w:hAnsiTheme="majorBidi" w:cstheme="majorBidi"/>
          <w:bCs/>
        </w:rPr>
      </w:pPr>
      <w:r w:rsidRPr="00970E0E">
        <w:rPr>
          <w:rFonts w:asciiTheme="majorBidi" w:hAnsiTheme="majorBidi" w:cstheme="majorBidi"/>
          <w:bCs/>
        </w:rPr>
        <w:lastRenderedPageBreak/>
        <w:t>Henseler, J., Ringle, C. M., and Sinkovics, R. R. (2009). The Use of Partial Least Squares Path Modeling in International Marketing, in Advances in International Marketing, R. R. Sinkovics and P. N. Ghauri (eds.), Emerald: Bingley, pp. 277-320.</w:t>
      </w:r>
    </w:p>
    <w:p w:rsidR="009F7529" w:rsidRPr="009F7529" w:rsidRDefault="009F7529" w:rsidP="009F7529">
      <w:pPr>
        <w:tabs>
          <w:tab w:val="left" w:pos="3540"/>
        </w:tabs>
        <w:spacing w:line="480" w:lineRule="auto"/>
        <w:ind w:left="284" w:hanging="284"/>
        <w:rPr>
          <w:rFonts w:asciiTheme="majorBidi" w:hAnsiTheme="majorBidi" w:cstheme="majorBidi"/>
          <w:bCs/>
        </w:rPr>
      </w:pPr>
      <w:r w:rsidRPr="009F7529">
        <w:rPr>
          <w:rFonts w:asciiTheme="majorBidi" w:hAnsiTheme="majorBidi" w:cstheme="majorBidi"/>
          <w:bCs/>
        </w:rPr>
        <w:t>Weston, Rebecca &amp; Gore, Paul. (2006). A Brief Guide to Structural Equation Modeling. The Counseling Psychologist. 34. 719-751. 10.1177/0011000006286345.</w:t>
      </w:r>
    </w:p>
    <w:p w:rsidR="009F7529" w:rsidRPr="00970E0E" w:rsidRDefault="009F7529" w:rsidP="009F7529">
      <w:pPr>
        <w:tabs>
          <w:tab w:val="left" w:pos="3540"/>
        </w:tabs>
        <w:spacing w:line="480" w:lineRule="auto"/>
        <w:ind w:left="284" w:hanging="284"/>
        <w:rPr>
          <w:rFonts w:asciiTheme="majorBidi" w:hAnsiTheme="majorBidi" w:cstheme="majorBidi"/>
          <w:bCs/>
        </w:rPr>
      </w:pPr>
      <w:r w:rsidRPr="00970E0E">
        <w:rPr>
          <w:rFonts w:asciiTheme="majorBidi" w:hAnsiTheme="majorBidi" w:cstheme="majorBidi"/>
          <w:bCs/>
        </w:rPr>
        <w:t>Wold, H. (1982). Soft Modeling: The Basic Design and Some Extensions, in Systems Under Indirect Observations: Part II, K. G. Jöreskog and H. Wold (eds.), North-Holland: Amsterdam, pp. 1-54.</w:t>
      </w:r>
    </w:p>
    <w:p w:rsidR="009F7529" w:rsidRPr="00850E34" w:rsidRDefault="009F7529" w:rsidP="009F7529">
      <w:pPr>
        <w:tabs>
          <w:tab w:val="left" w:pos="3540"/>
        </w:tabs>
        <w:spacing w:line="360" w:lineRule="auto"/>
        <w:rPr>
          <w:rFonts w:asciiTheme="majorBidi" w:hAnsiTheme="majorBidi" w:cstheme="majorBidi"/>
          <w:bCs/>
        </w:rPr>
      </w:pPr>
    </w:p>
    <w:p w:rsidR="001502C5" w:rsidRPr="00850E34" w:rsidRDefault="001502C5" w:rsidP="00850E34">
      <w:pPr>
        <w:tabs>
          <w:tab w:val="left" w:pos="3420"/>
        </w:tabs>
        <w:spacing w:line="360" w:lineRule="auto"/>
        <w:rPr>
          <w:rFonts w:asciiTheme="majorBidi" w:hAnsiTheme="majorBidi" w:cstheme="majorBidi"/>
          <w:b/>
        </w:rPr>
      </w:pPr>
    </w:p>
    <w:p w:rsidR="00E45D18" w:rsidRPr="00850E34" w:rsidRDefault="00E45D18" w:rsidP="00850E34">
      <w:pPr>
        <w:tabs>
          <w:tab w:val="left" w:pos="3540"/>
        </w:tabs>
        <w:spacing w:line="360" w:lineRule="auto"/>
        <w:rPr>
          <w:rFonts w:asciiTheme="majorBidi" w:hAnsiTheme="majorBidi" w:cstheme="majorBidi"/>
        </w:rPr>
      </w:pPr>
    </w:p>
    <w:p w:rsidR="00D03087" w:rsidRPr="00850E34" w:rsidRDefault="00D03087" w:rsidP="00850E34">
      <w:pPr>
        <w:spacing w:line="360" w:lineRule="auto"/>
        <w:jc w:val="center"/>
        <w:rPr>
          <w:rFonts w:asciiTheme="majorBidi" w:hAnsiTheme="majorBidi" w:cstheme="majorBidi"/>
          <w:b/>
        </w:rPr>
      </w:pPr>
    </w:p>
    <w:sectPr w:rsidR="00D03087" w:rsidRPr="00850E34" w:rsidSect="00B23A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492" w:rsidRDefault="00D10492" w:rsidP="001502C5">
      <w:pPr>
        <w:spacing w:after="0" w:line="240" w:lineRule="auto"/>
      </w:pPr>
      <w:r>
        <w:separator/>
      </w:r>
    </w:p>
  </w:endnote>
  <w:endnote w:type="continuationSeparator" w:id="1">
    <w:p w:rsidR="00D10492" w:rsidRDefault="00D10492" w:rsidP="00150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492" w:rsidRDefault="00D10492" w:rsidP="001502C5">
      <w:pPr>
        <w:spacing w:after="0" w:line="240" w:lineRule="auto"/>
      </w:pPr>
      <w:r>
        <w:separator/>
      </w:r>
    </w:p>
  </w:footnote>
  <w:footnote w:type="continuationSeparator" w:id="1">
    <w:p w:rsidR="00D10492" w:rsidRDefault="00D10492" w:rsidP="001502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02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3155FB"/>
    <w:multiLevelType w:val="multilevel"/>
    <w:tmpl w:val="8EB8C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86028A5"/>
    <w:multiLevelType w:val="multilevel"/>
    <w:tmpl w:val="8EB8C7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755E7"/>
    <w:rsid w:val="00056A68"/>
    <w:rsid w:val="000B1951"/>
    <w:rsid w:val="00105835"/>
    <w:rsid w:val="001502C5"/>
    <w:rsid w:val="001C351C"/>
    <w:rsid w:val="001F6885"/>
    <w:rsid w:val="00214BFD"/>
    <w:rsid w:val="003008AF"/>
    <w:rsid w:val="00322677"/>
    <w:rsid w:val="00364B6E"/>
    <w:rsid w:val="00393E46"/>
    <w:rsid w:val="00405601"/>
    <w:rsid w:val="004137B4"/>
    <w:rsid w:val="005A3848"/>
    <w:rsid w:val="00637699"/>
    <w:rsid w:val="00673F5A"/>
    <w:rsid w:val="006B29F6"/>
    <w:rsid w:val="00704895"/>
    <w:rsid w:val="00757C2C"/>
    <w:rsid w:val="00840F84"/>
    <w:rsid w:val="008463BF"/>
    <w:rsid w:val="00850E34"/>
    <w:rsid w:val="00952B45"/>
    <w:rsid w:val="00962D05"/>
    <w:rsid w:val="00963940"/>
    <w:rsid w:val="00970E0E"/>
    <w:rsid w:val="00975E09"/>
    <w:rsid w:val="009961B9"/>
    <w:rsid w:val="009B0F86"/>
    <w:rsid w:val="009C22E3"/>
    <w:rsid w:val="009F5A5F"/>
    <w:rsid w:val="009F7529"/>
    <w:rsid w:val="00B23A08"/>
    <w:rsid w:val="00B724D2"/>
    <w:rsid w:val="00B755E7"/>
    <w:rsid w:val="00B8209E"/>
    <w:rsid w:val="00BB63D7"/>
    <w:rsid w:val="00D03087"/>
    <w:rsid w:val="00D10492"/>
    <w:rsid w:val="00D36E3E"/>
    <w:rsid w:val="00D63A96"/>
    <w:rsid w:val="00D64DAF"/>
    <w:rsid w:val="00D80273"/>
    <w:rsid w:val="00E1707D"/>
    <w:rsid w:val="00E425EB"/>
    <w:rsid w:val="00E45D18"/>
    <w:rsid w:val="00E901BE"/>
    <w:rsid w:val="00F17707"/>
    <w:rsid w:val="00F279DC"/>
    <w:rsid w:val="00F367FB"/>
    <w:rsid w:val="00F8141C"/>
    <w:rsid w:val="00FB48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2C5"/>
  </w:style>
  <w:style w:type="paragraph" w:styleId="Footer">
    <w:name w:val="footer"/>
    <w:basedOn w:val="Normal"/>
    <w:link w:val="FooterChar"/>
    <w:uiPriority w:val="99"/>
    <w:unhideWhenUsed/>
    <w:rsid w:val="00150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2C5"/>
  </w:style>
  <w:style w:type="table" w:styleId="TableGrid">
    <w:name w:val="Table Grid"/>
    <w:basedOn w:val="TableNormal"/>
    <w:uiPriority w:val="39"/>
    <w:rsid w:val="00757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0E34"/>
    <w:pPr>
      <w:ind w:left="720"/>
      <w:contextualSpacing/>
    </w:pPr>
  </w:style>
  <w:style w:type="paragraph" w:styleId="BalloonText">
    <w:name w:val="Balloon Text"/>
    <w:basedOn w:val="Normal"/>
    <w:link w:val="BalloonTextChar"/>
    <w:uiPriority w:val="99"/>
    <w:semiHidden/>
    <w:unhideWhenUsed/>
    <w:rsid w:val="00E90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910394">
      <w:bodyDiv w:val="1"/>
      <w:marLeft w:val="0"/>
      <w:marRight w:val="0"/>
      <w:marTop w:val="0"/>
      <w:marBottom w:val="0"/>
      <w:divBdr>
        <w:top w:val="none" w:sz="0" w:space="0" w:color="auto"/>
        <w:left w:val="none" w:sz="0" w:space="0" w:color="auto"/>
        <w:bottom w:val="none" w:sz="0" w:space="0" w:color="auto"/>
        <w:right w:val="none" w:sz="0" w:space="0" w:color="auto"/>
      </w:divBdr>
    </w:div>
    <w:div w:id="320278043">
      <w:bodyDiv w:val="1"/>
      <w:marLeft w:val="0"/>
      <w:marRight w:val="0"/>
      <w:marTop w:val="0"/>
      <w:marBottom w:val="0"/>
      <w:divBdr>
        <w:top w:val="none" w:sz="0" w:space="0" w:color="auto"/>
        <w:left w:val="none" w:sz="0" w:space="0" w:color="auto"/>
        <w:bottom w:val="none" w:sz="0" w:space="0" w:color="auto"/>
        <w:right w:val="none" w:sz="0" w:space="0" w:color="auto"/>
      </w:divBdr>
    </w:div>
    <w:div w:id="324937732">
      <w:bodyDiv w:val="1"/>
      <w:marLeft w:val="0"/>
      <w:marRight w:val="0"/>
      <w:marTop w:val="0"/>
      <w:marBottom w:val="0"/>
      <w:divBdr>
        <w:top w:val="none" w:sz="0" w:space="0" w:color="auto"/>
        <w:left w:val="none" w:sz="0" w:space="0" w:color="auto"/>
        <w:bottom w:val="none" w:sz="0" w:space="0" w:color="auto"/>
        <w:right w:val="none" w:sz="0" w:space="0" w:color="auto"/>
      </w:divBdr>
    </w:div>
    <w:div w:id="413476516">
      <w:bodyDiv w:val="1"/>
      <w:marLeft w:val="0"/>
      <w:marRight w:val="0"/>
      <w:marTop w:val="0"/>
      <w:marBottom w:val="0"/>
      <w:divBdr>
        <w:top w:val="none" w:sz="0" w:space="0" w:color="auto"/>
        <w:left w:val="none" w:sz="0" w:space="0" w:color="auto"/>
        <w:bottom w:val="none" w:sz="0" w:space="0" w:color="auto"/>
        <w:right w:val="none" w:sz="0" w:space="0" w:color="auto"/>
      </w:divBdr>
    </w:div>
    <w:div w:id="792679031">
      <w:bodyDiv w:val="1"/>
      <w:marLeft w:val="0"/>
      <w:marRight w:val="0"/>
      <w:marTop w:val="0"/>
      <w:marBottom w:val="0"/>
      <w:divBdr>
        <w:top w:val="none" w:sz="0" w:space="0" w:color="auto"/>
        <w:left w:val="none" w:sz="0" w:space="0" w:color="auto"/>
        <w:bottom w:val="none" w:sz="0" w:space="0" w:color="auto"/>
        <w:right w:val="none" w:sz="0" w:space="0" w:color="auto"/>
      </w:divBdr>
    </w:div>
    <w:div w:id="935791228">
      <w:bodyDiv w:val="1"/>
      <w:marLeft w:val="0"/>
      <w:marRight w:val="0"/>
      <w:marTop w:val="0"/>
      <w:marBottom w:val="0"/>
      <w:divBdr>
        <w:top w:val="none" w:sz="0" w:space="0" w:color="auto"/>
        <w:left w:val="none" w:sz="0" w:space="0" w:color="auto"/>
        <w:bottom w:val="none" w:sz="0" w:space="0" w:color="auto"/>
        <w:right w:val="none" w:sz="0" w:space="0" w:color="auto"/>
      </w:divBdr>
    </w:div>
    <w:div w:id="1068842316">
      <w:bodyDiv w:val="1"/>
      <w:marLeft w:val="0"/>
      <w:marRight w:val="0"/>
      <w:marTop w:val="0"/>
      <w:marBottom w:val="0"/>
      <w:divBdr>
        <w:top w:val="none" w:sz="0" w:space="0" w:color="auto"/>
        <w:left w:val="none" w:sz="0" w:space="0" w:color="auto"/>
        <w:bottom w:val="none" w:sz="0" w:space="0" w:color="auto"/>
        <w:right w:val="none" w:sz="0" w:space="0" w:color="auto"/>
      </w:divBdr>
    </w:div>
    <w:div w:id="1072774698">
      <w:bodyDiv w:val="1"/>
      <w:marLeft w:val="0"/>
      <w:marRight w:val="0"/>
      <w:marTop w:val="0"/>
      <w:marBottom w:val="0"/>
      <w:divBdr>
        <w:top w:val="none" w:sz="0" w:space="0" w:color="auto"/>
        <w:left w:val="none" w:sz="0" w:space="0" w:color="auto"/>
        <w:bottom w:val="none" w:sz="0" w:space="0" w:color="auto"/>
        <w:right w:val="none" w:sz="0" w:space="0" w:color="auto"/>
      </w:divBdr>
    </w:div>
    <w:div w:id="1201865282">
      <w:bodyDiv w:val="1"/>
      <w:marLeft w:val="0"/>
      <w:marRight w:val="0"/>
      <w:marTop w:val="0"/>
      <w:marBottom w:val="0"/>
      <w:divBdr>
        <w:top w:val="none" w:sz="0" w:space="0" w:color="auto"/>
        <w:left w:val="none" w:sz="0" w:space="0" w:color="auto"/>
        <w:bottom w:val="none" w:sz="0" w:space="0" w:color="auto"/>
        <w:right w:val="none" w:sz="0" w:space="0" w:color="auto"/>
      </w:divBdr>
    </w:div>
    <w:div w:id="1242907942">
      <w:bodyDiv w:val="1"/>
      <w:marLeft w:val="0"/>
      <w:marRight w:val="0"/>
      <w:marTop w:val="0"/>
      <w:marBottom w:val="0"/>
      <w:divBdr>
        <w:top w:val="none" w:sz="0" w:space="0" w:color="auto"/>
        <w:left w:val="none" w:sz="0" w:space="0" w:color="auto"/>
        <w:bottom w:val="none" w:sz="0" w:space="0" w:color="auto"/>
        <w:right w:val="none" w:sz="0" w:space="0" w:color="auto"/>
      </w:divBdr>
    </w:div>
    <w:div w:id="1484467106">
      <w:bodyDiv w:val="1"/>
      <w:marLeft w:val="0"/>
      <w:marRight w:val="0"/>
      <w:marTop w:val="0"/>
      <w:marBottom w:val="0"/>
      <w:divBdr>
        <w:top w:val="none" w:sz="0" w:space="0" w:color="auto"/>
        <w:left w:val="none" w:sz="0" w:space="0" w:color="auto"/>
        <w:bottom w:val="none" w:sz="0" w:space="0" w:color="auto"/>
        <w:right w:val="none" w:sz="0" w:space="0" w:color="auto"/>
      </w:divBdr>
    </w:div>
    <w:div w:id="1675451663">
      <w:bodyDiv w:val="1"/>
      <w:marLeft w:val="0"/>
      <w:marRight w:val="0"/>
      <w:marTop w:val="0"/>
      <w:marBottom w:val="0"/>
      <w:divBdr>
        <w:top w:val="none" w:sz="0" w:space="0" w:color="auto"/>
        <w:left w:val="none" w:sz="0" w:space="0" w:color="auto"/>
        <w:bottom w:val="none" w:sz="0" w:space="0" w:color="auto"/>
        <w:right w:val="none" w:sz="0" w:space="0" w:color="auto"/>
      </w:divBdr>
    </w:div>
    <w:div w:id="1936674077">
      <w:bodyDiv w:val="1"/>
      <w:marLeft w:val="0"/>
      <w:marRight w:val="0"/>
      <w:marTop w:val="0"/>
      <w:marBottom w:val="0"/>
      <w:divBdr>
        <w:top w:val="none" w:sz="0" w:space="0" w:color="auto"/>
        <w:left w:val="none" w:sz="0" w:space="0" w:color="auto"/>
        <w:bottom w:val="none" w:sz="0" w:space="0" w:color="auto"/>
        <w:right w:val="none" w:sz="0" w:space="0" w:color="auto"/>
      </w:divBdr>
    </w:div>
    <w:div w:id="1951081065">
      <w:bodyDiv w:val="1"/>
      <w:marLeft w:val="0"/>
      <w:marRight w:val="0"/>
      <w:marTop w:val="0"/>
      <w:marBottom w:val="0"/>
      <w:divBdr>
        <w:top w:val="none" w:sz="0" w:space="0" w:color="auto"/>
        <w:left w:val="none" w:sz="0" w:space="0" w:color="auto"/>
        <w:bottom w:val="none" w:sz="0" w:space="0" w:color="auto"/>
        <w:right w:val="none" w:sz="0" w:space="0" w:color="auto"/>
      </w:divBdr>
    </w:div>
    <w:div w:id="197868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1188</Words>
  <Characters>6774</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2021-08-31T07:32:00Z</dcterms:created>
  <dcterms:modified xsi:type="dcterms:W3CDTF">2021-08-31T07:32:00Z</dcterms:modified>
</cp:coreProperties>
</file>