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D2E5" w14:textId="77777777" w:rsidR="00556A18" w:rsidRDefault="001F638E">
      <w:pPr>
        <w:spacing w:after="2820" w:line="259" w:lineRule="auto"/>
        <w:ind w:right="0" w:firstLine="0"/>
      </w:pPr>
      <w:r>
        <w:rPr>
          <w:color w:val="000000"/>
        </w:rPr>
        <w:t xml:space="preserve">Running head: TECHNOLOGY CHANGE ON OLDER WORKERS </w:t>
      </w:r>
    </w:p>
    <w:p w14:paraId="73E1C305" w14:textId="3AB648C4" w:rsidR="00556A18" w:rsidRDefault="001F638E" w:rsidP="00A20362">
      <w:pPr>
        <w:spacing w:after="252" w:line="259" w:lineRule="auto"/>
        <w:ind w:firstLine="0"/>
        <w:jc w:val="right"/>
      </w:pPr>
      <w:r>
        <w:t>Technological Change on Older Workers</w:t>
      </w:r>
      <w:r>
        <w:br w:type="page"/>
      </w:r>
    </w:p>
    <w:p w14:paraId="37037A8C" w14:textId="77777777" w:rsidR="00556A18" w:rsidRDefault="001F638E">
      <w:pPr>
        <w:pStyle w:val="Heading1"/>
        <w:ind w:left="715"/>
      </w:pPr>
      <w:r>
        <w:lastRenderedPageBreak/>
        <w:t>Nature of Problem</w:t>
      </w:r>
    </w:p>
    <w:p w14:paraId="00E33A4E" w14:textId="2E360F69" w:rsidR="00CD6458" w:rsidRDefault="001F638E" w:rsidP="00CD6458">
      <w:pPr>
        <w:ind w:left="-15" w:right="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0DCD68D0" wp14:editId="1C3AB7AD">
                <wp:simplePos x="0" y="0"/>
                <wp:positionH relativeFrom="column">
                  <wp:posOffset>356616</wp:posOffset>
                </wp:positionH>
                <wp:positionV relativeFrom="paragraph">
                  <wp:posOffset>1765926</wp:posOffset>
                </wp:positionV>
                <wp:extent cx="3740404" cy="791464"/>
                <wp:effectExtent l="0" t="0" r="0" b="0"/>
                <wp:wrapNone/>
                <wp:docPr id="3199" name="Group 3199"/>
                <wp:cNvGraphicFramePr/>
                <a:graphic xmlns:a="http://schemas.openxmlformats.org/drawingml/2006/main">
                  <a:graphicData uri="http://schemas.microsoft.com/office/word/2010/wordprocessingGroup">
                    <wpg:wgp>
                      <wpg:cNvGrpSpPr/>
                      <wpg:grpSpPr>
                        <a:xfrm>
                          <a:off x="0" y="0"/>
                          <a:ext cx="3740404" cy="791464"/>
                          <a:chOff x="0" y="0"/>
                          <a:chExt cx="3740404" cy="791464"/>
                        </a:xfrm>
                      </wpg:grpSpPr>
                      <wps:wsp>
                        <wps:cNvPr id="39" name="Shape 39"/>
                        <wps:cNvSpPr/>
                        <wps:spPr>
                          <a:xfrm>
                            <a:off x="0" y="0"/>
                            <a:ext cx="3740404" cy="791464"/>
                          </a:xfrm>
                          <a:custGeom>
                            <a:avLst/>
                            <a:gdLst/>
                            <a:ahLst/>
                            <a:cxnLst/>
                            <a:rect l="0" t="0" r="0" b="0"/>
                            <a:pathLst>
                              <a:path w="3740404" h="791464">
                                <a:moveTo>
                                  <a:pt x="108331" y="549909"/>
                                </a:moveTo>
                                <a:lnTo>
                                  <a:pt x="108331" y="549909"/>
                                </a:lnTo>
                                <a:lnTo>
                                  <a:pt x="199898" y="566547"/>
                                </a:lnTo>
                                <a:lnTo>
                                  <a:pt x="299847" y="599821"/>
                                </a:lnTo>
                                <a:lnTo>
                                  <a:pt x="916305" y="674751"/>
                                </a:lnTo>
                                <a:lnTo>
                                  <a:pt x="1641094" y="674751"/>
                                </a:lnTo>
                                <a:lnTo>
                                  <a:pt x="1791081" y="641477"/>
                                </a:lnTo>
                                <a:lnTo>
                                  <a:pt x="2024253" y="608203"/>
                                </a:lnTo>
                                <a:lnTo>
                                  <a:pt x="2615692" y="558165"/>
                                </a:lnTo>
                                <a:lnTo>
                                  <a:pt x="2815717" y="549909"/>
                                </a:lnTo>
                                <a:lnTo>
                                  <a:pt x="3140583" y="491490"/>
                                </a:lnTo>
                                <a:lnTo>
                                  <a:pt x="3182239" y="466598"/>
                                </a:lnTo>
                                <a:lnTo>
                                  <a:pt x="3365500" y="424942"/>
                                </a:lnTo>
                                <a:lnTo>
                                  <a:pt x="3648710" y="424942"/>
                                </a:lnTo>
                                <a:lnTo>
                                  <a:pt x="3707003" y="374903"/>
                                </a:lnTo>
                                <a:lnTo>
                                  <a:pt x="3740404" y="308228"/>
                                </a:lnTo>
                                <a:lnTo>
                                  <a:pt x="3740404" y="208280"/>
                                </a:lnTo>
                                <a:lnTo>
                                  <a:pt x="3557016" y="83312"/>
                                </a:lnTo>
                                <a:lnTo>
                                  <a:pt x="3232150" y="0"/>
                                </a:lnTo>
                                <a:lnTo>
                                  <a:pt x="2874010" y="0"/>
                                </a:lnTo>
                                <a:lnTo>
                                  <a:pt x="2749042" y="16763"/>
                                </a:lnTo>
                                <a:lnTo>
                                  <a:pt x="916305" y="16763"/>
                                </a:lnTo>
                                <a:lnTo>
                                  <a:pt x="858012" y="25019"/>
                                </a:lnTo>
                                <a:lnTo>
                                  <a:pt x="741426" y="83312"/>
                                </a:lnTo>
                                <a:lnTo>
                                  <a:pt x="658114" y="108331"/>
                                </a:lnTo>
                                <a:lnTo>
                                  <a:pt x="291592" y="191643"/>
                                </a:lnTo>
                                <a:lnTo>
                                  <a:pt x="224917" y="224917"/>
                                </a:lnTo>
                                <a:lnTo>
                                  <a:pt x="158242" y="233299"/>
                                </a:lnTo>
                                <a:lnTo>
                                  <a:pt x="108331" y="266573"/>
                                </a:lnTo>
                                <a:lnTo>
                                  <a:pt x="41656" y="274955"/>
                                </a:lnTo>
                                <a:lnTo>
                                  <a:pt x="0" y="308228"/>
                                </a:lnTo>
                                <a:lnTo>
                                  <a:pt x="0" y="433197"/>
                                </a:lnTo>
                                <a:lnTo>
                                  <a:pt x="33274" y="499872"/>
                                </a:lnTo>
                                <a:lnTo>
                                  <a:pt x="291592" y="674751"/>
                                </a:lnTo>
                                <a:lnTo>
                                  <a:pt x="449834" y="741426"/>
                                </a:lnTo>
                                <a:lnTo>
                                  <a:pt x="649732" y="791464"/>
                                </a:lnTo>
                              </a:path>
                            </a:pathLst>
                          </a:custGeom>
                          <a:ln w="12700" cap="flat">
                            <a:miter lim="127000"/>
                          </a:ln>
                        </wps:spPr>
                        <wps:style>
                          <a:lnRef idx="1">
                            <a:srgbClr val="EE061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99" style="width:294.52pt;height:62.32pt;position:absolute;z-index:-2147483621;mso-position-horizontal-relative:text;mso-position-horizontal:absolute;margin-left:28.08pt;mso-position-vertical-relative:text;margin-top:139.049pt;" coordsize="37404,7914">
                <v:shape id="Shape 39" style="position:absolute;width:37404;height:7914;left:0;top:0;" coordsize="3740404,791464" path="m108331,549909l108331,549909l199898,566547l299847,599821l916305,674751l1641094,674751l1791081,641477l2024253,608203l2615692,558165l2815717,549909l3140583,491490l3182239,466598l3365500,424942l3648710,424942l3707003,374903l3740404,308228l3740404,208280l3557016,83312l3232150,0l2874010,0l2749042,16763l916305,16763l858012,25019l741426,83312l658114,108331l291592,191643l224917,224917l158242,233299l108331,266573l41656,274955l0,308228l0,433197l33274,499872l291592,674751l449834,741426l649732,791464">
                  <v:stroke weight="1pt" endcap="flat" joinstyle="miter" miterlimit="10" on="true" color="#ee0612"/>
                  <v:fill on="false" color="#000000" opacity="0"/>
                </v:shape>
              </v:group>
            </w:pict>
          </mc:Fallback>
        </mc:AlternateContent>
      </w:r>
      <w:r>
        <w:t xml:space="preserve">The government agencies contain a workforce that falls in the older age group, with a majority of the workers finding it hard to adapt to the changing nature of their jobs with time. The world of technology has recently experienced a heightened transformation as newer technologies pop up, making it highly difficult for older workers in government agencies to remain </w:t>
      </w:r>
      <w:r w:rsidRPr="00285EE9">
        <w:t>equipped with the changing technological needs that their work process requires.</w:t>
      </w:r>
      <w:r w:rsidRPr="00176176">
        <w:t xml:space="preserve"> </w:t>
      </w:r>
      <w:r w:rsidR="00AE42D4" w:rsidRPr="00AE42D4">
        <w:t xml:space="preserve">As the workforce ages, the work environment and </w:t>
      </w:r>
      <w:r w:rsidR="00F335FB" w:rsidRPr="00AE42D4">
        <w:t>organizational</w:t>
      </w:r>
      <w:r w:rsidR="00AE42D4" w:rsidRPr="00AE42D4">
        <w:t xml:space="preserve"> structure are undergoing significant changes. Throughout the workplace, four generations are operating together at the same time, each with its own learning, interaction, and interpersonal styles. Contemporary information communication technology (ICT), while useful, has produced problems for the ageing worker in the workplace. To stay relevant being a worker, the workplace has been converted into a technological hub wherein employees must be cognizant of and flexible with technological developments.</w:t>
      </w:r>
      <w:r w:rsidR="00AE42D4">
        <w:t xml:space="preserve"> </w:t>
      </w:r>
      <w:r w:rsidR="00CD6458">
        <w:t xml:space="preserve">Older employees, classified as those aged 60 and up, are typically concerned about the evolving nature of work, fearing employment </w:t>
      </w:r>
      <w:r w:rsidR="00CD6458">
        <w:t>polarization</w:t>
      </w:r>
      <w:r w:rsidR="00CD6458">
        <w:t xml:space="preserve"> and job loss</w:t>
      </w:r>
      <w:r w:rsidR="008E0968">
        <w:t xml:space="preserve"> (</w:t>
      </w:r>
      <w:proofErr w:type="spellStart"/>
      <w:r w:rsidR="008E0968">
        <w:t>Maletis</w:t>
      </w:r>
      <w:proofErr w:type="spellEnd"/>
      <w:r w:rsidR="008E0968">
        <w:t xml:space="preserve">, 2014). </w:t>
      </w:r>
    </w:p>
    <w:p w14:paraId="1B811DB6" w14:textId="437D5AF3" w:rsidR="00556A18" w:rsidRDefault="00CD6458" w:rsidP="00CD6458">
      <w:pPr>
        <w:ind w:left="-15" w:right="0"/>
      </w:pPr>
      <w:r>
        <w:t xml:space="preserve">As expressed by the Bureau of Labor Statistics, the </w:t>
      </w:r>
      <w:r>
        <w:t>labor</w:t>
      </w:r>
      <w:r>
        <w:t xml:space="preserve"> force throughout the United States grew by 8.5% from 2006 to 2016, and now, five generations cohabit in work settings that are assisted by ever-evolving technology developments. According to the BLS, employees aged 65 and above make up 6.1% of the overall </w:t>
      </w:r>
      <w:r>
        <w:t>labor</w:t>
      </w:r>
      <w:r>
        <w:t xml:space="preserve"> force, and the number of workers over 55 continues to rise at a far higher rate than those in the 25–54 age range</w:t>
      </w:r>
      <w:r w:rsidR="008E0968">
        <w:t xml:space="preserve"> (Hertel &amp; </w:t>
      </w:r>
      <w:proofErr w:type="spellStart"/>
      <w:r w:rsidR="008E0968">
        <w:t>Zacher</w:t>
      </w:r>
      <w:proofErr w:type="spellEnd"/>
      <w:r w:rsidR="008E0968">
        <w:t xml:space="preserve">, 2018). </w:t>
      </w:r>
      <w:r w:rsidR="001F638E" w:rsidRPr="00176176">
        <w:t>This has increased the need to cater to these workers' problems, as they appear to be quite helpless in their situation. Older workers are used to the old methods of doing work</w:t>
      </w:r>
      <w:r w:rsidR="00285EE9" w:rsidRPr="00176176">
        <w:t>, which comprises of pen and paper methods without inculcating technological advancements within work processes.</w:t>
      </w:r>
      <w:r w:rsidR="001F638E" w:rsidRPr="00176176">
        <w:t xml:space="preserve"> </w:t>
      </w:r>
      <w:r w:rsidR="001F638E">
        <w:t xml:space="preserve">They prefer the good old pen and paper method for jotting down important stuff </w:t>
      </w:r>
      <w:r w:rsidR="001F638E">
        <w:lastRenderedPageBreak/>
        <w:t>and getting their job done. However, this method has been replaced by an entirely automated, technology-focused inclination to take down essential elements or even indulge in the most mundane activities (</w:t>
      </w:r>
      <w:proofErr w:type="spellStart"/>
      <w:r w:rsidR="001F638E">
        <w:t>Mosner</w:t>
      </w:r>
      <w:proofErr w:type="spellEnd"/>
      <w:r w:rsidR="001F638E">
        <w:t xml:space="preserve"> &amp; </w:t>
      </w:r>
      <w:proofErr w:type="spellStart"/>
      <w:r w:rsidR="001F638E">
        <w:t>Spiezle</w:t>
      </w:r>
      <w:proofErr w:type="spellEnd"/>
      <w:r w:rsidR="001F638E">
        <w:t>, 2003).</w:t>
      </w:r>
      <w:r>
        <w:t xml:space="preserve"> </w:t>
      </w:r>
    </w:p>
    <w:p w14:paraId="3D21209C" w14:textId="397E9A75" w:rsidR="00CD6458" w:rsidRDefault="00CD6458" w:rsidP="008E0968">
      <w:pPr>
        <w:ind w:left="-15" w:right="0"/>
      </w:pPr>
      <w:r w:rsidRPr="00CD6458">
        <w:t xml:space="preserve">Employers and </w:t>
      </w:r>
      <w:r w:rsidRPr="00CD6458">
        <w:t>organizations</w:t>
      </w:r>
      <w:r w:rsidRPr="00CD6458">
        <w:t xml:space="preserve"> must strive to update current human resource (HR) as well as training methods in light of evolving technology revolutions, with new attitudes and policies in place to meet the existence of an ageing workforce. Companies may retain older personnel by adopting new reasoning and </w:t>
      </w:r>
      <w:r w:rsidRPr="00CD6458">
        <w:t>practices</w:t>
      </w:r>
      <w:r w:rsidRPr="00CD6458">
        <w:t xml:space="preserve"> to suit current and global business problems. To achieve this aim, companies must develop consistent policies that are age-neutral and accommodating of older workers in the twenty-first century.</w:t>
      </w:r>
      <w:r>
        <w:t xml:space="preserve"> </w:t>
      </w:r>
      <w:r w:rsidR="00F02A8A" w:rsidRPr="00F02A8A">
        <w:t xml:space="preserve">Five generations are presently coexisting throughout the workplace, and studies have seen a variety of employee consequences in contemporary multigenerational workplace. 75% Seventy-five of the workforce is above the age of 60. For instance, younger employees who are considered technologically literate have difficulties having their job expectations fulfilled, resulting in a retention issue for the business. In comparison to their younger counterparts, scholars projected </w:t>
      </w:r>
      <w:proofErr w:type="gramStart"/>
      <w:r w:rsidR="00F02A8A" w:rsidRPr="00F02A8A">
        <w:t>that older employees</w:t>
      </w:r>
      <w:proofErr w:type="gramEnd"/>
      <w:r w:rsidR="00F02A8A" w:rsidRPr="00F02A8A">
        <w:t xml:space="preserve"> in an ageing workforce would be much more prepared to align with and satisfy such job expectations</w:t>
      </w:r>
      <w:r w:rsidR="008E0968">
        <w:t xml:space="preserve"> </w:t>
      </w:r>
      <w:r w:rsidR="008E0968">
        <w:t>(</w:t>
      </w:r>
      <w:proofErr w:type="spellStart"/>
      <w:r w:rsidR="008E0968">
        <w:t>Mosner</w:t>
      </w:r>
      <w:proofErr w:type="spellEnd"/>
      <w:r w:rsidR="008E0968">
        <w:t xml:space="preserve"> &amp; </w:t>
      </w:r>
      <w:proofErr w:type="spellStart"/>
      <w:r w:rsidR="008E0968">
        <w:t>Spiezle</w:t>
      </w:r>
      <w:proofErr w:type="spellEnd"/>
      <w:r w:rsidR="008E0968">
        <w:t xml:space="preserve">, 2003). </w:t>
      </w:r>
    </w:p>
    <w:p w14:paraId="435D8238" w14:textId="77777777" w:rsidR="00556A18" w:rsidRDefault="001F638E">
      <w:pPr>
        <w:spacing w:after="252" w:line="259" w:lineRule="auto"/>
        <w:ind w:left="720" w:right="0" w:firstLine="0"/>
      </w:pPr>
      <w:r>
        <w:t xml:space="preserve">The U.S. workforce is aging, with 16% of the labor force being above 55 years </w:t>
      </w:r>
    </w:p>
    <w:p w14:paraId="3832F1A9" w14:textId="4D562026" w:rsidR="001D0EF2" w:rsidRDefault="001F638E">
      <w:pPr>
        <w:ind w:left="-15" w:right="0" w:firstLine="0"/>
      </w:pPr>
      <w:r>
        <w:t xml:space="preserve">(McIntosh, 2020). The Bureau of Labor Statistics has projected that this amount is assumed to be raised to 103 million by the end of 2025, representing about 30% of the overall population within the U.S. (Thompson &amp; </w:t>
      </w:r>
      <w:proofErr w:type="spellStart"/>
      <w:r>
        <w:t>Mayhorn</w:t>
      </w:r>
      <w:proofErr w:type="spellEnd"/>
      <w:r>
        <w:t xml:space="preserve">, 2012). At a rate higher than that of workforce aging, industrial change is occurring at maximized speeds. It has been estimated that around 47% of all American jobs will become automated and computerized (Thompson &amp; </w:t>
      </w:r>
      <w:proofErr w:type="spellStart"/>
      <w:r>
        <w:t>Mayhorn</w:t>
      </w:r>
      <w:proofErr w:type="spellEnd"/>
      <w:r>
        <w:t>, 2012).</w:t>
      </w:r>
      <w:r w:rsidR="00F02A8A">
        <w:t xml:space="preserve"> </w:t>
      </w:r>
      <w:r w:rsidR="001D0EF2" w:rsidRPr="001D0EF2">
        <w:t xml:space="preserve">With the elder workforce, detachment from work has become much more delayed, resulting in people working </w:t>
      </w:r>
      <w:r w:rsidR="001D0EF2" w:rsidRPr="001D0EF2">
        <w:lastRenderedPageBreak/>
        <w:t xml:space="preserve">past retirement age. Since a result, the elder worker's disengagement with work has a detrimental influence on the company, as workers avoid </w:t>
      </w:r>
      <w:r w:rsidR="001D0EF2" w:rsidRPr="001D0EF2">
        <w:t>utilizing</w:t>
      </w:r>
      <w:r w:rsidR="001D0EF2" w:rsidRPr="001D0EF2">
        <w:t xml:space="preserve"> technology that their younger colleagues do. Nonetheless, job obstacles and impediments for older workers in terms of employment conditions lead to a rise in shifting unemployment as well as retirement variables</w:t>
      </w:r>
      <w:r w:rsidR="008E0968">
        <w:t xml:space="preserve"> (</w:t>
      </w:r>
      <w:proofErr w:type="spellStart"/>
      <w:r w:rsidR="008E0968">
        <w:t>Buyens</w:t>
      </w:r>
      <w:proofErr w:type="spellEnd"/>
      <w:r w:rsidR="008E0968">
        <w:t xml:space="preserve"> et al., 2009).</w:t>
      </w:r>
    </w:p>
    <w:p w14:paraId="7EB1CA3F" w14:textId="5DE808FC" w:rsidR="00F02A8A" w:rsidRDefault="00F02A8A" w:rsidP="001D0EF2">
      <w:pPr>
        <w:ind w:left="-15" w:right="0" w:firstLine="735"/>
      </w:pPr>
      <w:r w:rsidRPr="00F02A8A">
        <w:t xml:space="preserve">Organizations require a deep understanding of older employees' experiences using ICT adoption in technology-infused workplaces in order to design training protocols geared at eliminating technological obstacles to productivity related with the greying of the national workforce. </w:t>
      </w:r>
      <w:r w:rsidRPr="00F02A8A">
        <w:t>Participative human</w:t>
      </w:r>
      <w:r w:rsidRPr="00F02A8A">
        <w:t xml:space="preserve"> engagement may successfully target each generation by combining existing and new ICT and training techniques. HRD must now concentrate on methods to take advantage of the growing accessibility of older employees throughout the digital workforce of the twenty-first century</w:t>
      </w:r>
      <w:r w:rsidR="008E0968">
        <w:t xml:space="preserve"> (</w:t>
      </w:r>
      <w:proofErr w:type="spellStart"/>
      <w:r w:rsidR="008E0968">
        <w:t>Picchio</w:t>
      </w:r>
      <w:proofErr w:type="spellEnd"/>
      <w:r w:rsidR="008E0968">
        <w:t xml:space="preserve">, 2015). </w:t>
      </w:r>
      <w:r w:rsidRPr="00F02A8A">
        <w:t>The everyday experiences which older workers have in technology-infused businesses may lead to effectiveness being hampered owing to an inadequate training or knowledge, as well as workplace ageism, which poses problems.</w:t>
      </w:r>
      <w:r w:rsidR="0076694E">
        <w:t xml:space="preserve"> </w:t>
      </w:r>
      <w:r w:rsidR="0076694E" w:rsidRPr="0076694E">
        <w:t xml:space="preserve">Due to a shortage of skills in an era of technological progress, skewed participation contributes to decreasing sectors within the economy (– for example, manufacturing) but also early retirement, that might culminate in a number of variables affecting employment rates, such as social security as well as unemployment benefits. As a result, being able to acknowledge barriers along with work impediments for older workers is critical for the current and future growth of the </w:t>
      </w:r>
      <w:r w:rsidR="0076694E" w:rsidRPr="0076694E">
        <w:t>labor</w:t>
      </w:r>
      <w:r w:rsidR="0076694E" w:rsidRPr="0076694E">
        <w:t xml:space="preserve"> force</w:t>
      </w:r>
      <w:r w:rsidR="008E0968">
        <w:t xml:space="preserve"> (Francis-Pettway, 2019).</w:t>
      </w:r>
    </w:p>
    <w:p w14:paraId="3566F12E" w14:textId="77777777" w:rsidR="00F02A8A" w:rsidRDefault="00F02A8A">
      <w:pPr>
        <w:ind w:left="-15" w:right="0" w:firstLine="0"/>
      </w:pPr>
    </w:p>
    <w:p w14:paraId="75597389" w14:textId="05A8BCFD" w:rsidR="00556A18" w:rsidRDefault="001F638E" w:rsidP="002024A6">
      <w:pPr>
        <w:ind w:left="-15" w:right="0" w:firstLine="720"/>
      </w:pPr>
      <w:r>
        <w:t xml:space="preserve">Therefore, the aging workforce is exposed to feel left out, and their importance is undoubtedly going to fade with the introduction of newer technologies. The </w:t>
      </w:r>
      <w:r w:rsidR="00363318">
        <w:t xml:space="preserve">Office of Personnel </w:t>
      </w:r>
      <w:r w:rsidR="00363318">
        <w:lastRenderedPageBreak/>
        <w:t>Management</w:t>
      </w:r>
      <w:r>
        <w:t xml:space="preserve"> is expected to control this situation, and they are anticipated to teach strategies to cater to this issue.</w:t>
      </w:r>
    </w:p>
    <w:p w14:paraId="03B23CC5" w14:textId="77777777" w:rsidR="00556A18" w:rsidRDefault="001F638E">
      <w:pPr>
        <w:pStyle w:val="Heading1"/>
        <w:ind w:left="715"/>
      </w:pPr>
      <w:r>
        <w:t>Background Analysis</w:t>
      </w:r>
    </w:p>
    <w:p w14:paraId="67D1F78E" w14:textId="3BF6D4AC" w:rsidR="00556A18" w:rsidRDefault="001F638E">
      <w:pPr>
        <w:ind w:left="-15" w:right="0"/>
      </w:pPr>
      <w:r>
        <w:t xml:space="preserve">Society is aging at a rate that has never been seen before. According to demographic projections, 103 million individuals, or almost 30% of the population in the United States, will be 55 and older by 2025 (Thompson &amp; </w:t>
      </w:r>
      <w:proofErr w:type="spellStart"/>
      <w:r>
        <w:t>Mayhorn</w:t>
      </w:r>
      <w:proofErr w:type="spellEnd"/>
      <w:r>
        <w:t>, 2012). Throughout Europe, Asia, and Latin America, similar tendencies have been seen. In response to these broader demographic shifts, the workforce in the United States and other industrialized countries has gotten older throughout recent times. Technology is progressing and developing at a breakneck pace. Office technology has evolved dramatically in the last century, from the most rudimentary telephones. It telegraphs towards mobile phones, laptop computers, and other technologies that are fast becoming widespread (</w:t>
      </w:r>
      <w:proofErr w:type="spellStart"/>
      <w:r>
        <w:t>Meyhew</w:t>
      </w:r>
      <w:proofErr w:type="spellEnd"/>
      <w:r>
        <w:t xml:space="preserve"> &amp; </w:t>
      </w:r>
      <w:proofErr w:type="spellStart"/>
      <w:r>
        <w:t>Rijkers</w:t>
      </w:r>
      <w:proofErr w:type="spellEnd"/>
      <w:r>
        <w:t>, 2004). The ubiquitous presence of personal computers, along with the Internet and corporate intranets, had resulted in a twenty-first-century workplace environment that looks quite different from what most older adults encountered when they first started their professions. This potent mix of technologies has revolutionized how individuals engage with their bosses, coworkers, and customers</w:t>
      </w:r>
      <w:r w:rsidR="008E0968">
        <w:t xml:space="preserve"> </w:t>
      </w:r>
      <w:r w:rsidR="008E0968">
        <w:t>(Francis-Pettway, 2019).</w:t>
      </w:r>
    </w:p>
    <w:p w14:paraId="786BC55A" w14:textId="3F32ABCE" w:rsidR="00AA77DA" w:rsidRDefault="00AA77DA">
      <w:pPr>
        <w:ind w:left="-15" w:right="0"/>
      </w:pPr>
      <w:r w:rsidRPr="00AA77DA">
        <w:t>While older people are much more driven at work, they connect more strongly with the profession they have selected and have much more abilities to assist them cope with the obligations that may appear to be difficult at work. When it comes to assessing the possibilities of an older worker finding job, the employee's thoughts matter a lot. Discrimination against older workers during the hiring process and later at work leads to better decisions to leave a job or stay unemployed.</w:t>
      </w:r>
      <w:r>
        <w:t xml:space="preserve"> </w:t>
      </w:r>
      <w:r w:rsidRPr="00AA77DA">
        <w:t xml:space="preserve">The elder worker may contemplate working longer if their working conditions enhance. Potential for development, including training and constructive techniques, can help to </w:t>
      </w:r>
      <w:proofErr w:type="spellStart"/>
      <w:r w:rsidRPr="00AA77DA">
        <w:lastRenderedPageBreak/>
        <w:t>minimise</w:t>
      </w:r>
      <w:proofErr w:type="spellEnd"/>
      <w:r w:rsidRPr="00AA77DA">
        <w:t xml:space="preserve"> the urge to retire early. It should be noted that, although the old-age part-time work contract serves as a valuable instrument for demonstrating the workplace's good attitude towards the older employees, it also serves as a reduction tool towards lowering the older worker's </w:t>
      </w:r>
      <w:proofErr w:type="spellStart"/>
      <w:r w:rsidRPr="00AA77DA">
        <w:t>labour</w:t>
      </w:r>
      <w:proofErr w:type="spellEnd"/>
      <w:r w:rsidRPr="00AA77DA">
        <w:t xml:space="preserve"> from an early stage. As a result of an exclusionary </w:t>
      </w:r>
      <w:proofErr w:type="spellStart"/>
      <w:r w:rsidRPr="00AA77DA">
        <w:t>labour</w:t>
      </w:r>
      <w:proofErr w:type="spellEnd"/>
      <w:r w:rsidRPr="00AA77DA">
        <w:t xml:space="preserve"> market, it progressively drives them out of the workforce, reducing the chance of older employees remaining in the workforce</w:t>
      </w:r>
      <w:r w:rsidR="008E0968">
        <w:t xml:space="preserve"> (alas et al., 2012).</w:t>
      </w:r>
    </w:p>
    <w:p w14:paraId="4403482C" w14:textId="25ECF81C" w:rsidR="00052E84" w:rsidRDefault="00052E84">
      <w:pPr>
        <w:ind w:left="-15" w:right="0"/>
      </w:pPr>
      <w:r w:rsidRPr="00052E84">
        <w:t>The rapid development of the future workforce necessitates a structure of lifelong development that allows older people to improve their strength and flexibility. Investing in reskilling as well as upskilling initiatives should be tailored to the specific requirements, objectives, interests, and personalities of older people. Furthermore, efforts should improve the capacity of older individuals to stay working or transfer easily between jobs. Efforts to reskill also increase one's feeling of self-worth, integrity, and fulfilment</w:t>
      </w:r>
      <w:r w:rsidR="008E0968">
        <w:t xml:space="preserve"> (</w:t>
      </w:r>
      <w:proofErr w:type="spellStart"/>
      <w:r w:rsidR="008E0968">
        <w:t>Kadefors</w:t>
      </w:r>
      <w:proofErr w:type="spellEnd"/>
      <w:r w:rsidR="008E0968">
        <w:t xml:space="preserve"> &amp; Hanse, 2012). </w:t>
      </w:r>
    </w:p>
    <w:p w14:paraId="7D12DFF1" w14:textId="07FB0534" w:rsidR="00556A18" w:rsidRDefault="001F638E">
      <w:pPr>
        <w:ind w:left="-15" w:right="0"/>
      </w:pPr>
      <w:r>
        <w:t>Nowadays, most individuals begin their job search and selection process online. Many job seekers look to company websites to learn about job openings and perks and get a sense of the company's values, culture, and what it's like to work there. Those who are moving ahead inside this application process frequently submit résumés and job applications online, and they may also take further screening and selection exams online. Desktop conferencing and virtual collaboration amongst coworkers and teammates have become commonplace, and people within organizations have started to focus upon utilizing technological means to complete their daily tasks (</w:t>
      </w:r>
      <w:proofErr w:type="spellStart"/>
      <w:r>
        <w:t>Githens</w:t>
      </w:r>
      <w:proofErr w:type="spellEnd"/>
      <w:r>
        <w:t>, 2007).</w:t>
      </w:r>
    </w:p>
    <w:p w14:paraId="653C7718" w14:textId="16A06A4B" w:rsidR="00811000" w:rsidRDefault="00811000">
      <w:pPr>
        <w:ind w:left="-15" w:right="0"/>
      </w:pPr>
      <w:r w:rsidRPr="00811000">
        <w:t xml:space="preserve">Another major issue for older employees is productivity, which necessitates access to current training, employment assistance, as well as great workplace circumstances. In compared to younger workers, elderly workers are much less qualified and far less inclined to </w:t>
      </w:r>
      <w:r w:rsidRPr="00811000">
        <w:t>utilize</w:t>
      </w:r>
      <w:r w:rsidRPr="00811000">
        <w:t xml:space="preserve"> ICT. </w:t>
      </w:r>
      <w:r w:rsidRPr="00811000">
        <w:lastRenderedPageBreak/>
        <w:t xml:space="preserve">The intensified </w:t>
      </w:r>
      <w:r w:rsidRPr="00811000">
        <w:t>utilization</w:t>
      </w:r>
      <w:r w:rsidRPr="00811000">
        <w:t xml:space="preserve"> ICT throughout the knowledge-intensive service provider (– for example, tax consultancy as well as accounting, architecture) and information technologies network operator (e.g., software and telecommunication services) sectors, that depend on the consistent development of new technologies as well as software, renders the structure, quality, or otherwise internal </w:t>
      </w:r>
      <w:r w:rsidRPr="00811000">
        <w:t>organizational</w:t>
      </w:r>
      <w:r w:rsidRPr="00811000">
        <w:t xml:space="preserve"> structure with regards to the knowledge-intensive service provider areas, that also rely on the ongoing development of new technologies as well as software, renders the structure of the overall human capital highly important</w:t>
      </w:r>
      <w:r>
        <w:t>.</w:t>
      </w:r>
      <w:r w:rsidR="005B4CA0">
        <w:t xml:space="preserve"> </w:t>
      </w:r>
      <w:r w:rsidR="005B4CA0" w:rsidRPr="005B4CA0">
        <w:t xml:space="preserve">Rapid technical advancement and knowledge devaluation, on the one hand, and population expansion, on the other, provide these businesses with a significant problem. In comparison to younger employees, empirical data shows that older employees are less likely and far less competent to </w:t>
      </w:r>
      <w:r w:rsidR="005B4CA0" w:rsidRPr="005B4CA0">
        <w:t>utilize</w:t>
      </w:r>
      <w:r w:rsidR="005B4CA0" w:rsidRPr="005B4CA0">
        <w:t xml:space="preserve"> ICT. Since ICT is always evolving and newer applications and software are released on a continuous basis, employees must acclimate to these current technologies and applications in order to be adopted</w:t>
      </w:r>
      <w:r w:rsidR="008E0968">
        <w:t xml:space="preserve"> </w:t>
      </w:r>
      <w:r w:rsidR="008E0968">
        <w:t>(</w:t>
      </w:r>
      <w:proofErr w:type="spellStart"/>
      <w:r w:rsidR="008E0968">
        <w:t>Githens</w:t>
      </w:r>
      <w:proofErr w:type="spellEnd"/>
      <w:r w:rsidR="008E0968">
        <w:t>, 2007).</w:t>
      </w:r>
    </w:p>
    <w:p w14:paraId="58262D31" w14:textId="68B0E48A" w:rsidR="00556A18" w:rsidRDefault="001F638E">
      <w:pPr>
        <w:ind w:left="-15" w:right="0"/>
      </w:pPr>
      <w:r>
        <w:t>Although the previous changes are significant enough to merit serious study of aging and technology throughout the workplace, they seem to be only the tip of the iceberg. For example, over the last several years, the Internet has essentially transitioned from a collection of relatively static HTML pages towards a more dynamic place defined by open communication, information sharing, as well as web-based communities, resulting in what has been dubbed a significant "step change" in its nature. The term "Web 2.0" is used to describe this dynamic Internet environment. This word was coined in 2004 to describe the second generation of web-based networks and hosted services that enable sharing and collaboration (</w:t>
      </w:r>
      <w:proofErr w:type="spellStart"/>
      <w:r>
        <w:t>Bertschek</w:t>
      </w:r>
      <w:proofErr w:type="spellEnd"/>
      <w:r>
        <w:t xml:space="preserve"> &amp; Meyer, 2009). Throughout the years, technological advancement has left a gap in the skillset of the older workers. Even though they may try to adapt to this change, the hastened transformations lead to them feeling </w:t>
      </w:r>
      <w:r>
        <w:lastRenderedPageBreak/>
        <w:t>disillusioned and lost for the chance. The same has been observed within governmental agencies as older employees experience a strong level of alienation as the agencies are moving towards an online system. The government within the USA has moved to the selection of online portals, which has risen particularly ever since COVID-19 has emerged (McIntosh, 2020).</w:t>
      </w:r>
    </w:p>
    <w:p w14:paraId="4BA08864" w14:textId="570DD6BB" w:rsidR="00556A18" w:rsidRDefault="001F638E">
      <w:pPr>
        <w:spacing w:after="249" w:line="259" w:lineRule="auto"/>
        <w:ind w:left="715" w:right="0" w:hanging="10"/>
        <w:rPr>
          <w:b/>
        </w:rPr>
      </w:pPr>
      <w:r>
        <w:rPr>
          <w:b/>
        </w:rPr>
        <w:t>Policy Alternatives</w:t>
      </w:r>
    </w:p>
    <w:p w14:paraId="0503D7DE" w14:textId="3FF3ED6F" w:rsidR="00E42EC0" w:rsidRDefault="005B4CA0" w:rsidP="005B4CA0">
      <w:pPr>
        <w:spacing w:after="249" w:line="480" w:lineRule="auto"/>
        <w:ind w:right="0" w:firstLine="0"/>
        <w:rPr>
          <w:bCs/>
        </w:rPr>
      </w:pPr>
      <w:r>
        <w:rPr>
          <w:b/>
        </w:rPr>
        <w:tab/>
      </w:r>
      <w:r w:rsidRPr="00E42EC0">
        <w:rPr>
          <w:bCs/>
        </w:rPr>
        <w:t xml:space="preserve">Through their connections, the digital workforce has brought technologies that can be employed at work depending on their skills. When an older worker has been shown to be useful to the firm's productivity, the employer may be willing to keep and educate them. The workforce's digital abilities and how technology has been used in the workplace will constantly evolve and change. As a result, companies rely on training </w:t>
      </w:r>
      <w:r w:rsidRPr="00E42EC0">
        <w:rPr>
          <w:bCs/>
        </w:rPr>
        <w:t>program</w:t>
      </w:r>
      <w:r w:rsidRPr="00E42EC0">
        <w:rPr>
          <w:bCs/>
        </w:rPr>
        <w:t xml:space="preserve"> to close competency gaps, despite the fact that technology is always changing and improving, resulting in gaps inside a technology-dominated workplace.</w:t>
      </w:r>
      <w:r w:rsidRPr="00E42EC0">
        <w:rPr>
          <w:bCs/>
        </w:rPr>
        <w:t xml:space="preserve"> </w:t>
      </w:r>
      <w:r w:rsidR="00E42EC0" w:rsidRPr="00E42EC0">
        <w:rPr>
          <w:bCs/>
        </w:rPr>
        <w:t xml:space="preserve">Despite maintaining the effectiveness of </w:t>
      </w:r>
      <w:r w:rsidR="00E42EC0" w:rsidRPr="00E42EC0">
        <w:rPr>
          <w:bCs/>
        </w:rPr>
        <w:t>organizational</w:t>
      </w:r>
      <w:r w:rsidR="00E42EC0" w:rsidRPr="00E42EC0">
        <w:rPr>
          <w:bCs/>
        </w:rPr>
        <w:t xml:space="preserve"> operations, aged people in the workforce hold essential expertise that fresher individuals lack. Even </w:t>
      </w:r>
      <w:r w:rsidR="00E42EC0" w:rsidRPr="00E42EC0">
        <w:rPr>
          <w:bCs/>
        </w:rPr>
        <w:t>though mentorship</w:t>
      </w:r>
      <w:r w:rsidR="00E42EC0" w:rsidRPr="00E42EC0">
        <w:rPr>
          <w:bCs/>
        </w:rPr>
        <w:t xml:space="preserve"> can occur throughout the workplace, knowledge transfer through one generation to the next may not occur until an older person retires. The increasing use of ICT throughout the workplace raises the demand for expertise and technologically proficient people. Employers must address the shifting demographics of the workforce. The evolution of technology has had an impact on the way work is done and </w:t>
      </w:r>
      <w:r w:rsidR="00E42EC0" w:rsidRPr="00E42EC0">
        <w:rPr>
          <w:bCs/>
        </w:rPr>
        <w:t>organized</w:t>
      </w:r>
      <w:r w:rsidR="008E0968">
        <w:rPr>
          <w:bCs/>
        </w:rPr>
        <w:t xml:space="preserve"> (Dychtwald et al., 2004).</w:t>
      </w:r>
    </w:p>
    <w:p w14:paraId="48F3B6B9" w14:textId="6202FDE3" w:rsidR="005B4CA0" w:rsidRDefault="00E42EC0" w:rsidP="00E42EC0">
      <w:pPr>
        <w:spacing w:after="249" w:line="480" w:lineRule="auto"/>
        <w:ind w:right="0" w:firstLine="705"/>
        <w:rPr>
          <w:bCs/>
        </w:rPr>
      </w:pPr>
      <w:r w:rsidRPr="00E42EC0">
        <w:rPr>
          <w:bCs/>
        </w:rPr>
        <w:t>Older employees are less likely as compared to younger workers to have accessibility towards training and development chances, and they are also less likely to take advantage of such chances if they are accessible. The growing number of older individuals in the workforce, as well as their proclivity to work past the legal retirement age, implies that encouraging the skills development of older employees will assist both companies and society in the long run.</w:t>
      </w:r>
    </w:p>
    <w:p w14:paraId="27D2E56D" w14:textId="58F38293" w:rsidR="007529F2" w:rsidRPr="00E42EC0" w:rsidRDefault="007529F2" w:rsidP="00E42EC0">
      <w:pPr>
        <w:spacing w:after="249" w:line="480" w:lineRule="auto"/>
        <w:ind w:right="0" w:firstLine="705"/>
        <w:rPr>
          <w:bCs/>
        </w:rPr>
      </w:pPr>
      <w:r w:rsidRPr="007529F2">
        <w:rPr>
          <w:bCs/>
        </w:rPr>
        <w:lastRenderedPageBreak/>
        <w:t>In order to increase employee wellness and happiness, governments and businesses must use a life-course perspective when creating policy</w:t>
      </w:r>
      <w:r w:rsidR="008E0968">
        <w:rPr>
          <w:bCs/>
        </w:rPr>
        <w:t xml:space="preserve"> </w:t>
      </w:r>
      <w:r w:rsidR="008E0968">
        <w:t>(</w:t>
      </w:r>
      <w:proofErr w:type="spellStart"/>
      <w:r w:rsidR="008E0968">
        <w:t>Eyster</w:t>
      </w:r>
      <w:proofErr w:type="spellEnd"/>
      <w:r w:rsidR="008E0968">
        <w:t xml:space="preserve">, 2008). </w:t>
      </w:r>
      <w:r w:rsidRPr="007529F2">
        <w:rPr>
          <w:bCs/>
        </w:rPr>
        <w:t xml:space="preserve">This will </w:t>
      </w:r>
      <w:r w:rsidR="000E7B02" w:rsidRPr="007529F2">
        <w:rPr>
          <w:bCs/>
        </w:rPr>
        <w:t>humanize</w:t>
      </w:r>
      <w:r w:rsidRPr="007529F2">
        <w:rPr>
          <w:bCs/>
        </w:rPr>
        <w:t xml:space="preserve"> work and make economic involvement more equal. Supporting the multigenerational workforce acknowledges the contributions of all businesses, with older workers contributing their expertise and personal experiences to balance the abilities of younger workers, who are frequently more computer savvy and have more recent knowledge and training. This intergenerational workforce allows for reskilling and empowerment of all workers, allowing them to be effective at all phases of their lives. The future with regards to the work will adopt a more expansive view to its workforce's lifelong development.</w:t>
      </w:r>
      <w:r>
        <w:rPr>
          <w:bCs/>
        </w:rPr>
        <w:t xml:space="preserve"> </w:t>
      </w:r>
      <w:r w:rsidR="009C41A2" w:rsidRPr="009C41A2">
        <w:rPr>
          <w:bCs/>
        </w:rPr>
        <w:t xml:space="preserve">Older generations must be </w:t>
      </w:r>
      <w:r w:rsidR="009C41A2" w:rsidRPr="009C41A2">
        <w:rPr>
          <w:bCs/>
        </w:rPr>
        <w:t>prioritized</w:t>
      </w:r>
      <w:r w:rsidR="009C41A2" w:rsidRPr="009C41A2">
        <w:rPr>
          <w:bCs/>
        </w:rPr>
        <w:t xml:space="preserve"> in workforce retraining efforts. The corporate world is a dynamic one. Integrated lifelong learning, an enterprising mentality, and the abilities and courage to act independently – even when functioning in a network – are more important than ever for maintaining occupational viability at all ages</w:t>
      </w:r>
      <w:r w:rsidR="008E0968">
        <w:rPr>
          <w:bCs/>
        </w:rPr>
        <w:t xml:space="preserve"> (</w:t>
      </w:r>
      <w:proofErr w:type="spellStart"/>
      <w:r w:rsidR="008E0968">
        <w:rPr>
          <w:bCs/>
        </w:rPr>
        <w:t>Maletis</w:t>
      </w:r>
      <w:proofErr w:type="spellEnd"/>
      <w:r w:rsidR="008E0968">
        <w:rPr>
          <w:bCs/>
        </w:rPr>
        <w:t>, 2014).</w:t>
      </w:r>
    </w:p>
    <w:p w14:paraId="689D4B21" w14:textId="77777777" w:rsidR="00556A18" w:rsidRDefault="001F638E">
      <w:pPr>
        <w:pStyle w:val="Heading1"/>
        <w:ind w:left="715"/>
      </w:pPr>
      <w:r>
        <w:t>Technology Adaptation</w:t>
      </w:r>
    </w:p>
    <w:p w14:paraId="755812EB" w14:textId="47D79E59" w:rsidR="00556A18" w:rsidRDefault="001F638E">
      <w:pPr>
        <w:ind w:left="-15" w:right="309"/>
      </w:pPr>
      <w:r>
        <w:t xml:space="preserve">To cater to this changing scenario and assist the older workers in excelling within their work processes, </w:t>
      </w:r>
      <w:r w:rsidR="006F7AC9">
        <w:t>t</w:t>
      </w:r>
      <w:r w:rsidR="006F7AC9">
        <w:t>he Office of Personnel Management</w:t>
      </w:r>
      <w:r w:rsidR="006F7AC9">
        <w:t xml:space="preserve"> </w:t>
      </w:r>
      <w:r>
        <w:t>needs to focus upon analyzing several opportunities that may be beneficial to the growth and prosperity of the older workforce. The first policy that can be inculcated involves a focus upon involving psychologists who would inform regarding the guidelines and tools that may enable software designers to create technology that may suit older workers' capacities more (</w:t>
      </w:r>
      <w:proofErr w:type="spellStart"/>
      <w:r>
        <w:t>Eyster</w:t>
      </w:r>
      <w:proofErr w:type="spellEnd"/>
      <w:r>
        <w:t xml:space="preserve">, 2008). </w:t>
      </w:r>
      <w:r>
        <w:rPr>
          <w:b/>
        </w:rPr>
        <w:t>Training</w:t>
      </w:r>
    </w:p>
    <w:p w14:paraId="4EDAAAB8" w14:textId="77777777" w:rsidR="00556A18" w:rsidRDefault="001F638E">
      <w:pPr>
        <w:ind w:left="-15" w:right="0"/>
      </w:pPr>
      <w:r>
        <w:t>Employees should receive proper training to allow them to acquire computer-based skills. The training may be done in-house or to indulge in a contract with a private or nonprofit firm to do the activity (</w:t>
      </w:r>
      <w:proofErr w:type="spellStart"/>
      <w:r>
        <w:t>Czaja</w:t>
      </w:r>
      <w:proofErr w:type="spellEnd"/>
      <w:r>
        <w:t xml:space="preserve"> &amp; Moen, 2004).</w:t>
      </w:r>
    </w:p>
    <w:p w14:paraId="35D43DAB" w14:textId="77777777" w:rsidR="00556A18" w:rsidRDefault="001F638E">
      <w:pPr>
        <w:pStyle w:val="Heading1"/>
        <w:ind w:left="715"/>
      </w:pPr>
      <w:r>
        <w:lastRenderedPageBreak/>
        <w:t>Subsidies</w:t>
      </w:r>
    </w:p>
    <w:p w14:paraId="2A4EA762" w14:textId="56AFE42A" w:rsidR="00556A18" w:rsidRDefault="00422BE0">
      <w:pPr>
        <w:ind w:left="-15" w:right="0"/>
      </w:pPr>
      <w:r>
        <w:t xml:space="preserve">The Office of Personnel Management </w:t>
      </w:r>
      <w:r w:rsidR="001F638E">
        <w:t xml:space="preserve">may also provide subsidies to the older workers to assist them in acquiring technical training and education from specific colleges that may allow them to perform productively within their field (Singer &amp; </w:t>
      </w:r>
      <w:proofErr w:type="spellStart"/>
      <w:r w:rsidR="001F638E">
        <w:t>Toomet</w:t>
      </w:r>
      <w:proofErr w:type="spellEnd"/>
      <w:r w:rsidR="001F638E">
        <w:t>, 2013).</w:t>
      </w:r>
    </w:p>
    <w:p w14:paraId="26782169" w14:textId="77777777" w:rsidR="00556A18" w:rsidRDefault="001F638E">
      <w:pPr>
        <w:spacing w:after="249" w:line="259" w:lineRule="auto"/>
        <w:ind w:left="715" w:right="0" w:hanging="10"/>
      </w:pPr>
      <w:r>
        <w:rPr>
          <w:b/>
        </w:rPr>
        <w:t xml:space="preserve">Evaluation of Alternatives </w:t>
      </w:r>
    </w:p>
    <w:p w14:paraId="69A68592" w14:textId="77777777" w:rsidR="00556A18" w:rsidRDefault="001F638E">
      <w:pPr>
        <w:pStyle w:val="Heading1"/>
        <w:ind w:left="715"/>
      </w:pPr>
      <w:r>
        <w:t>Technology Adaptation</w:t>
      </w:r>
    </w:p>
    <w:p w14:paraId="345F165E" w14:textId="08242669" w:rsidR="00556A18" w:rsidRDefault="00422BE0">
      <w:pPr>
        <w:ind w:left="-15" w:right="0"/>
      </w:pPr>
      <w:r w:rsidRPr="00422BE0">
        <w:t>On average, older individuals devote considerable time on computer activities, make more mistakes, therefore require greater trainer assistance. The loss of spatial skills may be the most significant element influencing older individuals' learning in a digital environment. Controlling the mouse, identifying the pointer and text upon its screen, and recalling the source of earlier seen information all need spatial skills. When compared to younger individuals, older adults struggled substantially more with all of these activities. The computer performance of older trainees is further influenced by working memory loss, problem-solving ability, perceptual deficiency, and past experience.</w:t>
      </w:r>
      <w:r w:rsidRPr="00422BE0">
        <w:t xml:space="preserve"> </w:t>
      </w:r>
      <w:r w:rsidR="001F638E">
        <w:t>Physical, cognitive, and perceptual changes that occur with chronological age can be exploited to develop technologies that are better adapted to older individuals. It</w:t>
      </w:r>
      <w:r w:rsidR="002243BD">
        <w:t xml:space="preserve"> is</w:t>
      </w:r>
      <w:r w:rsidR="001F638E">
        <w:t xml:space="preserve"> worth noting that adapting technology to the demands of older employees can occasionally lead to improved tools for everyone. The end effect may be a design that is more useful for everyone, not just seniors. Given the extent to which many employees interact with the Internet and corporate intranets, usability in website design is essential (</w:t>
      </w:r>
      <w:proofErr w:type="spellStart"/>
      <w:r w:rsidR="001F638E">
        <w:t>Meyhew</w:t>
      </w:r>
      <w:proofErr w:type="spellEnd"/>
      <w:r w:rsidR="001F638E">
        <w:t xml:space="preserve"> &amp; </w:t>
      </w:r>
      <w:proofErr w:type="spellStart"/>
      <w:r w:rsidR="001F638E">
        <w:t>Rijkers</w:t>
      </w:r>
      <w:proofErr w:type="spellEnd"/>
      <w:r w:rsidR="001F638E">
        <w:t>, 2004).</w:t>
      </w:r>
    </w:p>
    <w:p w14:paraId="6DE246C2" w14:textId="65C56A5E" w:rsidR="002243BD" w:rsidRDefault="002243BD" w:rsidP="002243BD">
      <w:pPr>
        <w:spacing w:after="252" w:line="480" w:lineRule="auto"/>
        <w:ind w:left="-15" w:right="0" w:firstLine="720"/>
      </w:pPr>
      <w:r w:rsidRPr="006F7AC9">
        <w:t xml:space="preserve">While conventional training methods may be customized to match the requirements of older employees, advances in electronic monitoring as well as intelligent agent technologies have the opportunity to benefit from making e-training even more adaptable by tailoring material to </w:t>
      </w:r>
      <w:r w:rsidRPr="006F7AC9">
        <w:lastRenderedPageBreak/>
        <w:t>specific users. Electronic monitoring systems could modify the appearance as well as content of online training to fit the particular demands of a worker by keeping information about their traits and inclinations. For example, information about a worker's age may be utilized to personalize the instructional interface through utilizing a bigger type size (16-point type) or even sans serif font combination that is most appropriate for an older adult</w:t>
      </w:r>
      <w:r w:rsidR="008E0968">
        <w:t xml:space="preserve"> </w:t>
      </w:r>
      <w:r w:rsidR="008E0968">
        <w:t>(</w:t>
      </w:r>
      <w:proofErr w:type="spellStart"/>
      <w:r w:rsidR="008E0968">
        <w:t>Czaja</w:t>
      </w:r>
      <w:proofErr w:type="spellEnd"/>
      <w:r w:rsidR="008E0968">
        <w:t xml:space="preserve"> &amp; Moen, 2004).</w:t>
      </w:r>
    </w:p>
    <w:p w14:paraId="0C544A55" w14:textId="5A9739F8" w:rsidR="00082BB2" w:rsidRDefault="00082BB2" w:rsidP="002243BD">
      <w:pPr>
        <w:spacing w:after="252" w:line="480" w:lineRule="auto"/>
        <w:ind w:left="-15" w:right="0" w:firstLine="720"/>
      </w:pPr>
      <w:r w:rsidRPr="00082BB2">
        <w:t xml:space="preserve">Employees, businesses, non-governmental </w:t>
      </w:r>
      <w:r w:rsidRPr="00082BB2">
        <w:t>organizations</w:t>
      </w:r>
      <w:r w:rsidRPr="00082BB2">
        <w:t xml:space="preserve">, and governments should collaborate to ensure that reskilling and upskilling possibilities are readily available to older workers. Although time constraints, budgetary constraints, and knowledge gaps often hinder older employees from pursuing education, solutions such as micro-credentialing as well as nonlinear training and development programs, internships and job sharing should be </w:t>
      </w:r>
      <w:r w:rsidRPr="00082BB2">
        <w:t>customized</w:t>
      </w:r>
      <w:r w:rsidRPr="00082BB2">
        <w:t xml:space="preserve"> to fit their specific requirements</w:t>
      </w:r>
      <w:r w:rsidR="008E0968">
        <w:t xml:space="preserve"> (</w:t>
      </w:r>
      <w:proofErr w:type="spellStart"/>
      <w:r w:rsidR="008E0968">
        <w:t>Picchio</w:t>
      </w:r>
      <w:proofErr w:type="spellEnd"/>
      <w:r w:rsidR="008E0968">
        <w:t>, 2015).</w:t>
      </w:r>
    </w:p>
    <w:p w14:paraId="3EE9F64E" w14:textId="77777777" w:rsidR="00556A18" w:rsidRDefault="001F638E">
      <w:pPr>
        <w:pStyle w:val="Heading1"/>
        <w:ind w:left="715"/>
      </w:pPr>
      <w:r>
        <w:t xml:space="preserve">Training </w:t>
      </w:r>
    </w:p>
    <w:p w14:paraId="309AE63A" w14:textId="77777777" w:rsidR="00556A18" w:rsidRDefault="001F638E">
      <w:pPr>
        <w:ind w:left="-15" w:right="0"/>
      </w:pPr>
      <w:r>
        <w:t xml:space="preserve">There is evidence that older individuals are actively looking for Internet-based e-learning programs. Regardless of whether more senior employees want to continue their education utilizing online degree programs or find a link to a "brick and mortar" learning facility, the Internet can help. Seniors have taken to video games, with certain games including software packages developed mainly to slow or cure age-related declines in perceptual and cognitive capacities. Such technologies can assist older individuals in preserving their ability to thrive in professions that need such talents to the degree that they have the desired impact (Lee et al., </w:t>
      </w:r>
    </w:p>
    <w:p w14:paraId="417F1B62" w14:textId="4CC4D1DA" w:rsidR="00556A18" w:rsidRDefault="001F638E" w:rsidP="00422BE0">
      <w:pPr>
        <w:spacing w:after="252" w:line="480" w:lineRule="auto"/>
        <w:ind w:left="-15" w:right="0" w:firstLine="0"/>
      </w:pPr>
      <w:r>
        <w:t xml:space="preserve">2008). </w:t>
      </w:r>
      <w:r w:rsidR="00422BE0" w:rsidRPr="00422BE0">
        <w:t xml:space="preserve">Training, as previously mentioned, is another element that may assist reduce obstacles and </w:t>
      </w:r>
      <w:r w:rsidR="00422BE0" w:rsidRPr="00422BE0">
        <w:t>optimize</w:t>
      </w:r>
      <w:r w:rsidR="00422BE0" w:rsidRPr="00422BE0">
        <w:t xml:space="preserve"> the potential for technology to make a significant contribution to the work life of older individuals. Considering the cognitive and perceptual adjustments made with age, it is indeed </w:t>
      </w:r>
      <w:r w:rsidR="00422BE0" w:rsidRPr="00422BE0">
        <w:lastRenderedPageBreak/>
        <w:t>critical that both classroom as well as online training program</w:t>
      </w:r>
      <w:r w:rsidR="00422BE0">
        <w:t>s</w:t>
      </w:r>
      <w:r w:rsidR="00422BE0" w:rsidRPr="00422BE0">
        <w:t xml:space="preserve"> are adapted to older employees' specific requirements. The accessibility of training options can have a major influence on both existing and potential older employees' survival but also re-entry into the workforce</w:t>
      </w:r>
      <w:r w:rsidR="008E0968">
        <w:t xml:space="preserve"> (</w:t>
      </w:r>
      <w:proofErr w:type="spellStart"/>
      <w:r w:rsidR="008E0968">
        <w:t>Maletis</w:t>
      </w:r>
      <w:proofErr w:type="spellEnd"/>
      <w:r w:rsidR="008E0968">
        <w:t>, 2014).</w:t>
      </w:r>
    </w:p>
    <w:p w14:paraId="415B37AC" w14:textId="7D904192" w:rsidR="0009087D" w:rsidRDefault="0009087D" w:rsidP="0009087D">
      <w:pPr>
        <w:spacing w:after="252" w:line="480" w:lineRule="auto"/>
        <w:ind w:left="-15" w:right="0" w:firstLine="720"/>
      </w:pPr>
      <w:r w:rsidRPr="0009087D">
        <w:t>Furthermore, older employees may be unaware of the dangers of skill obsolescence and might even be hesitant to explore training or upgrading options. Older employees exhibit poorer mastery of training content and take substantially longer to learn than younger counterparts, which is somewhat unsurprising given the overall lack of support as well as enthusiasm within job-related training. Other evidence, meanwhile, shows that training efforts aimed at older employees necessitate adjustments to standard training approaches to meet their specific demands due to the existence of strong moderating variables including training time and training methodologies</w:t>
      </w:r>
      <w:r w:rsidR="008E0968">
        <w:t xml:space="preserve"> (Thompson &amp; Mayhem, 2012).</w:t>
      </w:r>
    </w:p>
    <w:p w14:paraId="2099C1B9" w14:textId="77777777" w:rsidR="008E0968" w:rsidRDefault="006F7AC9" w:rsidP="008E0968">
      <w:pPr>
        <w:spacing w:after="252" w:line="480" w:lineRule="auto"/>
        <w:ind w:left="-15" w:right="0" w:firstLine="720"/>
      </w:pPr>
      <w:r w:rsidRPr="006F7AC9">
        <w:t xml:space="preserve">The structure of instructional materials, the availability of </w:t>
      </w:r>
      <w:r w:rsidRPr="006F7AC9">
        <w:t>practice</w:t>
      </w:r>
      <w:r w:rsidRPr="006F7AC9">
        <w:t>, as well as the conceptual substance of the materials are all expected to impact learning among older employees. The systematic presentation of training materials in a succession of well-defined units that gradually develop in complication has shown to be a successful method of arranging instructional resources. One efficient way of designing the structure of the program is to use procedural knowledge acquired from a prior task analysis.</w:t>
      </w:r>
      <w:r>
        <w:t xml:space="preserve"> </w:t>
      </w:r>
      <w:r w:rsidRPr="006F7AC9">
        <w:t>To guarantee the effectiveness of training, program</w:t>
      </w:r>
      <w:r>
        <w:t>s</w:t>
      </w:r>
      <w:r w:rsidRPr="006F7AC9">
        <w:t xml:space="preserve"> should be spread out across time to allow for ongoing </w:t>
      </w:r>
      <w:r w:rsidRPr="006F7AC9">
        <w:t>practice</w:t>
      </w:r>
      <w:r w:rsidRPr="006F7AC9">
        <w:t xml:space="preserve"> and investigation. Instructional design must leverage on older employees' intact talents while compensating for their diminishing abilities by adding accommodating techniques when selecting the conceptual content regarding training materials</w:t>
      </w:r>
      <w:r w:rsidR="008E0968">
        <w:t xml:space="preserve"> </w:t>
      </w:r>
      <w:r w:rsidR="008E0968">
        <w:t>(</w:t>
      </w:r>
      <w:proofErr w:type="spellStart"/>
      <w:r w:rsidR="008E0968">
        <w:t>Maletis</w:t>
      </w:r>
      <w:proofErr w:type="spellEnd"/>
      <w:r w:rsidR="008E0968">
        <w:t>, 2014).</w:t>
      </w:r>
    </w:p>
    <w:p w14:paraId="6FD255C1" w14:textId="45A9997E" w:rsidR="006F7AC9" w:rsidRDefault="006F7AC9" w:rsidP="0009087D">
      <w:pPr>
        <w:spacing w:after="252" w:line="480" w:lineRule="auto"/>
        <w:ind w:left="-15" w:right="0" w:firstLine="720"/>
      </w:pPr>
    </w:p>
    <w:p w14:paraId="4E88C4A0" w14:textId="3361B9F9" w:rsidR="00FE0A45" w:rsidRDefault="00FE0A45" w:rsidP="0009087D">
      <w:pPr>
        <w:spacing w:after="252" w:line="480" w:lineRule="auto"/>
        <w:ind w:left="-15" w:right="0" w:firstLine="720"/>
      </w:pPr>
      <w:r w:rsidRPr="00FE0A45">
        <w:t xml:space="preserve">Due to various demographic trends as well as policies targeted at delaying retirement, the workforce in all </w:t>
      </w:r>
      <w:proofErr w:type="spellStart"/>
      <w:r w:rsidRPr="00FE0A45">
        <w:t>industrialised</w:t>
      </w:r>
      <w:proofErr w:type="spellEnd"/>
      <w:r w:rsidRPr="00FE0A45">
        <w:t xml:space="preserve"> countries is ageing. If abilities, and hence productivity as well as employability, decline with age, this is a reason to be concerned for both companies and older workers. Throughout the scientific literature, nevertheless, there is considerable agreement on the capacity of older employees to update their abilities provided training is tailored to their unique learning requirements. As a result, age-specific training might be a useful strategy for boosting the job chances of older employees</w:t>
      </w:r>
      <w:r w:rsidR="008E0968">
        <w:t xml:space="preserve"> (Salas et al., 2012).</w:t>
      </w:r>
    </w:p>
    <w:p w14:paraId="444A500C" w14:textId="77777777" w:rsidR="00556A18" w:rsidRDefault="001F638E">
      <w:pPr>
        <w:pStyle w:val="Heading1"/>
        <w:ind w:left="715"/>
      </w:pPr>
      <w:r>
        <w:t>Subsidies</w:t>
      </w:r>
    </w:p>
    <w:p w14:paraId="71EDC734" w14:textId="77BBB478" w:rsidR="00556A18" w:rsidRDefault="001F638E">
      <w:pPr>
        <w:ind w:left="-15" w:right="0"/>
      </w:pPr>
      <w:r>
        <w:t xml:space="preserve">The </w:t>
      </w:r>
      <w:r w:rsidR="006F7AC9">
        <w:t>O</w:t>
      </w:r>
      <w:r w:rsidR="006F7AC9">
        <w:t>ffice of Personnel Managem</w:t>
      </w:r>
      <w:r w:rsidR="006F7AC9">
        <w:t xml:space="preserve">ent </w:t>
      </w:r>
      <w:r>
        <w:t xml:space="preserve">is responsible for assuring their employees and ensuring that the entire staff is working towards improved outcomes for all the present stakeholders (Singer &amp; </w:t>
      </w:r>
      <w:proofErr w:type="spellStart"/>
      <w:r>
        <w:t>Toomet</w:t>
      </w:r>
      <w:proofErr w:type="spellEnd"/>
      <w:r>
        <w:t xml:space="preserve">, 2013). The subsidization process may assist the employees in being well-equipped with all the essential skills for technological work and advancement while also being provided with the finances to attend the college that is fundamental to the process </w:t>
      </w:r>
    </w:p>
    <w:p w14:paraId="4A0016D8" w14:textId="2CB695F8" w:rsidR="00556A18" w:rsidRDefault="001F638E" w:rsidP="002243BD">
      <w:pPr>
        <w:spacing w:after="252" w:line="480" w:lineRule="auto"/>
        <w:ind w:left="-15" w:right="0" w:firstLine="0"/>
      </w:pPr>
      <w:r>
        <w:t>(</w:t>
      </w:r>
      <w:proofErr w:type="spellStart"/>
      <w:r>
        <w:t>Czaja</w:t>
      </w:r>
      <w:proofErr w:type="spellEnd"/>
      <w:r>
        <w:t xml:space="preserve"> &amp; Moen, 2004).</w:t>
      </w:r>
      <w:r w:rsidR="002243BD">
        <w:t xml:space="preserve"> </w:t>
      </w:r>
      <w:r w:rsidR="002243BD" w:rsidRPr="002243BD">
        <w:t>To fulfil their educational and job training goals, older individuals require additional social services and assistance. Participants in education and training program</w:t>
      </w:r>
      <w:r w:rsidR="002243BD">
        <w:t>s</w:t>
      </w:r>
      <w:r w:rsidR="002243BD" w:rsidRPr="002243BD">
        <w:t xml:space="preserve"> for older individuals, as well as others, require programs that are flexible and inexpensive. Strategies that integrate basic education with occupational preparation or give on-the-job training have the potential to shorten the period between education and work while also assisting older individuals in overcoming other substantial basic skills and language hurdles. It's also conceivable that breaking down program</w:t>
      </w:r>
      <w:r w:rsidR="002243BD">
        <w:t>s</w:t>
      </w:r>
      <w:r w:rsidR="002243BD" w:rsidRPr="002243BD">
        <w:t xml:space="preserve"> into smaller modules, like Kentucky's Learn on </w:t>
      </w:r>
      <w:r w:rsidR="002243BD" w:rsidRPr="002243BD">
        <w:lastRenderedPageBreak/>
        <w:t>Demand program, will make it easier for older employees to combine education and training with certain other obligations</w:t>
      </w:r>
      <w:r w:rsidR="008E0968">
        <w:t xml:space="preserve"> (Dychtwald et al., 2004).</w:t>
      </w:r>
    </w:p>
    <w:p w14:paraId="4A1C129C" w14:textId="1C921D75" w:rsidR="008B6AAD" w:rsidRDefault="008B6AAD" w:rsidP="002243BD">
      <w:pPr>
        <w:spacing w:after="252" w:line="480" w:lineRule="auto"/>
        <w:ind w:left="-15" w:right="0" w:firstLine="0"/>
      </w:pPr>
      <w:r>
        <w:tab/>
      </w:r>
      <w:r>
        <w:tab/>
      </w:r>
      <w:r w:rsidRPr="008B6AAD">
        <w:t>While age stereotypes are amongst the primary causes for older workers' poor training involvement, age-specific levies on dismissing older workers may be sufficient to improve companies' willingness to spend in training older people without putting an undue strain on the public budget. These measures would make it more appealing for businesses to spend in updating the skills of older employees by making it more expensive for them to terminate them. The increase in firing costs for older workers, on the other hand, would act as a further barrier to employing older workers, lengthening their periods of unemployment.</w:t>
      </w:r>
      <w:r w:rsidR="00FE0A45">
        <w:t xml:space="preserve"> </w:t>
      </w:r>
      <w:r w:rsidR="00FE0A45" w:rsidRPr="00FE0A45">
        <w:t>Another option, when enterprises are underinvesting within older workers' training due to age-related prejudices, is to create training funds for older workers, which would be funded by a charge on businesses. A training fund may offer grants for authorized training program</w:t>
      </w:r>
      <w:r w:rsidR="002F6837">
        <w:t>s</w:t>
      </w:r>
      <w:r w:rsidR="00FE0A45" w:rsidRPr="00FE0A45">
        <w:t xml:space="preserve"> that are tailored to the requirements of older workers. Nevertheless, it has been stressed that, while training grants may appear tempting since they can be readily tailored to fit the needs of trainees, there is insufficient robust causal data to support their real effect on increasing training participation</w:t>
      </w:r>
      <w:r w:rsidR="008E0968">
        <w:t xml:space="preserve"> </w:t>
      </w:r>
      <w:r w:rsidR="008E0968">
        <w:t>(</w:t>
      </w:r>
      <w:proofErr w:type="spellStart"/>
      <w:r w:rsidR="008E0968">
        <w:t>Czaja</w:t>
      </w:r>
      <w:proofErr w:type="spellEnd"/>
      <w:r w:rsidR="008E0968">
        <w:t xml:space="preserve"> &amp; Moen, 2004).</w:t>
      </w:r>
    </w:p>
    <w:p w14:paraId="0079272D" w14:textId="77777777" w:rsidR="00556A18" w:rsidRDefault="001F638E">
      <w:pPr>
        <w:pStyle w:val="Heading1"/>
        <w:ind w:left="715"/>
      </w:pPr>
      <w:r>
        <w:t>Solution to Problem</w:t>
      </w:r>
    </w:p>
    <w:p w14:paraId="2CB2187B" w14:textId="1670D8BF" w:rsidR="005F0CE6" w:rsidRDefault="001F638E" w:rsidP="005C66A1">
      <w:pPr>
        <w:ind w:left="-15" w:right="0"/>
      </w:pPr>
      <w:r>
        <w:t xml:space="preserve">However, it is believed that the best option for </w:t>
      </w:r>
      <w:r w:rsidR="006F7AC9">
        <w:t>t</w:t>
      </w:r>
      <w:r w:rsidR="006F7AC9">
        <w:t>he Office of Personnel Management</w:t>
      </w:r>
      <w:r w:rsidR="006F7AC9">
        <w:t xml:space="preserve"> </w:t>
      </w:r>
      <w:r>
        <w:t>is to provide training to the employees through a rigorous training program that may be conducted through a private firm. The process may allow the employees to follow the training seriously and rigidly without being inattentive or losing their focus (</w:t>
      </w:r>
      <w:proofErr w:type="spellStart"/>
      <w:r>
        <w:t>Mosner</w:t>
      </w:r>
      <w:proofErr w:type="spellEnd"/>
      <w:r>
        <w:t xml:space="preserve"> &amp; </w:t>
      </w:r>
      <w:proofErr w:type="spellStart"/>
      <w:r>
        <w:t>Spiezle</w:t>
      </w:r>
      <w:proofErr w:type="spellEnd"/>
      <w:r>
        <w:t xml:space="preserve">, 2003). The choice of an external firm has been made because the in-house training program may comprise of younger </w:t>
      </w:r>
      <w:r>
        <w:lastRenderedPageBreak/>
        <w:t>employees that may have their personal biases and may therefore not root for the prosperity of the older workers (Friedberg, 1997). The government agencies are prone to bigotry against the more senior workers as they are considered to be out of touch with the current working methods and technological advances. Due to this, the younger employees left out senior employees, and their success is not encouraged, so that an external body would be the ideal choice in this regard</w:t>
      </w:r>
      <w:r w:rsidR="008E0968">
        <w:t xml:space="preserve"> (</w:t>
      </w:r>
      <w:proofErr w:type="spellStart"/>
      <w:r w:rsidR="008E0968">
        <w:t>Picchio</w:t>
      </w:r>
      <w:proofErr w:type="spellEnd"/>
      <w:r w:rsidR="008E0968">
        <w:t>, 2015).</w:t>
      </w:r>
    </w:p>
    <w:p w14:paraId="4527AD4E" w14:textId="77777777" w:rsidR="00F91ACC" w:rsidRDefault="00F91ACC" w:rsidP="005C66A1">
      <w:pPr>
        <w:ind w:left="-15" w:right="0"/>
      </w:pPr>
    </w:p>
    <w:p w14:paraId="07A2658B" w14:textId="6AEFF3E3" w:rsidR="00152283" w:rsidRDefault="00152283" w:rsidP="005C66A1">
      <w:pPr>
        <w:ind w:left="-15" w:right="0"/>
      </w:pPr>
      <w:r w:rsidRPr="00152283">
        <w:t xml:space="preserve">Employing a third-party training provider helps a company to concentrate on its core strengths. Qualified training providers may assist businesses in aligning training activities with important business objectives, ensuring that all training efforts contribute to the company's overall objectives. A training partner should ideally also help with post-training follow-up programs as well as refreshers. These can assist businesses in </w:t>
      </w:r>
      <w:r w:rsidR="00737615" w:rsidRPr="00152283">
        <w:t>maximizing</w:t>
      </w:r>
      <w:r w:rsidRPr="00152283">
        <w:t xml:space="preserve"> learning ROI and better determining the influence of training on corporate operations, environment, and other factors.</w:t>
      </w:r>
      <w:r w:rsidR="00737615">
        <w:t xml:space="preserve"> </w:t>
      </w:r>
      <w:r w:rsidR="00737615" w:rsidRPr="00737615">
        <w:t>When a company administers its own training program</w:t>
      </w:r>
      <w:r w:rsidR="00737615">
        <w:t>s</w:t>
      </w:r>
      <w:r w:rsidR="00737615" w:rsidRPr="00737615">
        <w:t>, it is accountable both for the training programs (content creation, distribution, logistics and so on) as well as additional training expenses. These program</w:t>
      </w:r>
      <w:r w:rsidR="00737615">
        <w:t xml:space="preserve">s </w:t>
      </w:r>
      <w:r w:rsidR="00737615" w:rsidRPr="00737615">
        <w:t xml:space="preserve">may consume a substantial amount of corporate time and money. An outside training provider can assist in identifying and reducing these hidden expenses, as well as taking on some of the related risks. This </w:t>
      </w:r>
      <w:r w:rsidR="00737615" w:rsidRPr="00737615">
        <w:t>maximizes</w:t>
      </w:r>
      <w:r w:rsidR="00737615" w:rsidRPr="00737615">
        <w:t xml:space="preserve"> the return on the training investment, freeing up cash for other training activities. In contrast, training providers spend in tools and procedures on a regular basis to improve efficiency</w:t>
      </w:r>
      <w:r w:rsidR="008E0968">
        <w:t xml:space="preserve"> (</w:t>
      </w:r>
      <w:proofErr w:type="spellStart"/>
      <w:r w:rsidR="008E0968">
        <w:t>Kadefors</w:t>
      </w:r>
      <w:proofErr w:type="spellEnd"/>
      <w:r w:rsidR="008E0968">
        <w:t xml:space="preserve"> &amp; Hanse, 2012).</w:t>
      </w:r>
    </w:p>
    <w:p w14:paraId="202A8E44" w14:textId="43EEC098" w:rsidR="00877C18" w:rsidRPr="005F0CE6" w:rsidRDefault="00877C18" w:rsidP="005C66A1">
      <w:pPr>
        <w:ind w:left="-15" w:right="0"/>
      </w:pPr>
      <w:r w:rsidRPr="00877C18">
        <w:t xml:space="preserve">When properly nurtured, an outsourced training provider who seems to be a real partner may assist your firm in developing new training routes and better aligning training spend with </w:t>
      </w:r>
      <w:r w:rsidRPr="00877C18">
        <w:lastRenderedPageBreak/>
        <w:t xml:space="preserve">business objectives. Employing an expert to oversee a training effort may help assure more uniformity in learning throughout the </w:t>
      </w:r>
      <w:r w:rsidRPr="00877C18">
        <w:t>organization</w:t>
      </w:r>
      <w:r w:rsidRPr="00877C18">
        <w:t>. Participants in the training program will gain exposure to tried-and-true training methodologies, allowing them to master the skills they need more quickly and effectively. The faster new abilities are learnt, the faster they may be used in the workplace, giving you a competitive advantage</w:t>
      </w:r>
      <w:r w:rsidR="008E0968">
        <w:t xml:space="preserve"> (Frances-Pettway, 2019).</w:t>
      </w:r>
    </w:p>
    <w:p w14:paraId="7B71605B" w14:textId="77777777" w:rsidR="001F638E" w:rsidRDefault="001F638E">
      <w:pPr>
        <w:pStyle w:val="Heading1"/>
        <w:ind w:left="715"/>
      </w:pPr>
    </w:p>
    <w:p w14:paraId="3E79F5FD" w14:textId="62694462" w:rsidR="00556A18" w:rsidRDefault="001F638E">
      <w:pPr>
        <w:pStyle w:val="Heading1"/>
        <w:ind w:left="715"/>
      </w:pPr>
      <w:r>
        <w:t>Conclusion</w:t>
      </w:r>
    </w:p>
    <w:p w14:paraId="685149DE" w14:textId="72B9B542" w:rsidR="00556A18" w:rsidRDefault="001F638E" w:rsidP="006F7AC9">
      <w:pPr>
        <w:ind w:left="-15" w:right="0"/>
      </w:pPr>
      <w:r>
        <w:t xml:space="preserve">In conclusion, it can be said that the rapidly changing technologies have allowed older workers within government agencies to fall behind in their technological capacity. </w:t>
      </w:r>
      <w:r w:rsidR="00843326">
        <w:t>The Office</w:t>
      </w:r>
      <w:r w:rsidR="006F7AC9">
        <w:t xml:space="preserve"> of Personnel Management</w:t>
      </w:r>
      <w:r w:rsidR="006F7AC9">
        <w:t xml:space="preserve"> </w:t>
      </w:r>
      <w:r>
        <w:t xml:space="preserve">needs to inculcate specific alternatives to meet these workers' necessities and equip them with the required specialized learning that would allow them to succeed in the modern world. </w:t>
      </w:r>
      <w:r w:rsidR="005C66A1" w:rsidRPr="005C66A1">
        <w:t xml:space="preserve">The use of Web 2.0 technology in the workplace is a relatively recent and developing trend. Researchers and professionals within computer science, industrial-organizational psychology, as well as allied fields should use social media to help and enhance the lives of older employees as this movement grows. Utilizing social media to connect older employees to mentoring prospects and to create senior-friendly online support networks that can be readily accessible and </w:t>
      </w:r>
      <w:r w:rsidR="005C66A1" w:rsidRPr="005C66A1">
        <w:t>utilized</w:t>
      </w:r>
      <w:r w:rsidR="005C66A1" w:rsidRPr="005C66A1">
        <w:t xml:space="preserve"> by older workers, even those who are less technologically adept, are just a few examples</w:t>
      </w:r>
      <w:r w:rsidR="008E0968">
        <w:t xml:space="preserve"> (</w:t>
      </w:r>
      <w:proofErr w:type="spellStart"/>
      <w:r w:rsidR="008E0968">
        <w:t>Buyens</w:t>
      </w:r>
      <w:proofErr w:type="spellEnd"/>
      <w:r w:rsidR="008E0968">
        <w:t xml:space="preserve"> et al., 2009).</w:t>
      </w:r>
    </w:p>
    <w:p w14:paraId="706E4385" w14:textId="2AB95140" w:rsidR="00DD168E" w:rsidRDefault="00DD168E" w:rsidP="006F7AC9">
      <w:pPr>
        <w:ind w:left="-15" w:right="0"/>
      </w:pPr>
      <w:r w:rsidRPr="00DD168E">
        <w:t xml:space="preserve">Another promising option is to place a greater focus on adaptive technology, that is tailored to the needs of older individuals. There is a need for study on the most effective ways to acquire the essential data for this modification. It will be critical that this data be gathered fast, simply, flawlessly, and inconspicuously without </w:t>
      </w:r>
      <w:r w:rsidRPr="00DD168E">
        <w:t>jeopardizing</w:t>
      </w:r>
      <w:r w:rsidRPr="00DD168E">
        <w:t xml:space="preserve"> the privacy of those who use adaptive technologies. Amazon.com and other consumer websites have far surpassed the use of </w:t>
      </w:r>
      <w:r w:rsidRPr="00DD168E">
        <w:lastRenderedPageBreak/>
        <w:t>intelligent agent technologies for business reasons. A future course that merits significant consideration is research and development activities based upon consumer website models.</w:t>
      </w:r>
      <w:r>
        <w:t xml:space="preserve"> </w:t>
      </w:r>
      <w:r w:rsidRPr="00DD168E">
        <w:t xml:space="preserve">As previously said, intelligent technology may be used to propose appropriate mentoring and job possibilities that are suited to the older worker's abilities, accomplishments, and interests. Such innovations might increase society's ability to </w:t>
      </w:r>
      <w:r w:rsidRPr="00DD168E">
        <w:t>capitalize</w:t>
      </w:r>
      <w:r w:rsidRPr="00DD168E">
        <w:t xml:space="preserve"> on the valuable resources the ageing workforce has to deliver by assisting older individuals in identifying initiatives and professions that are well matched to their interests and skills</w:t>
      </w:r>
      <w:r w:rsidR="008E0968">
        <w:t xml:space="preserve"> (Thompson &amp; Mayhem, 2012).</w:t>
      </w:r>
    </w:p>
    <w:p w14:paraId="5871AEA7" w14:textId="69A15EE3" w:rsidR="00DD168E" w:rsidRDefault="00DD168E" w:rsidP="006F7AC9">
      <w:pPr>
        <w:ind w:left="-15" w:right="0"/>
      </w:pPr>
      <w:r w:rsidRPr="00DD168E">
        <w:t>Ultimately, a deliberate effort is needed to debunk the idea that older workers seem to be technophobes who are incapable of learning new technologies. Stereotypes like this are both incorrect and unhelpful. The stimulation of negative preconceptions about ageing has been found to negatively influence older individuals' performance in memory-related activities, according to research. This implies that misconceptions like the ones listed above may stymie older workers learning to utilize new technologies. Older employees, their coworkers, and their employers might all benefit from an awareness campaign or other efforts to dispel the aforementioned misconceptions.</w:t>
      </w:r>
      <w:r w:rsidR="00B76DA0">
        <w:t xml:space="preserve"> </w:t>
      </w:r>
      <w:r w:rsidR="00B76DA0" w:rsidRPr="00B76DA0">
        <w:t>When a company administers its own training program</w:t>
      </w:r>
      <w:r w:rsidR="00B76DA0">
        <w:t>s</w:t>
      </w:r>
      <w:r w:rsidR="00B76DA0" w:rsidRPr="00B76DA0">
        <w:t>, it is accountable both for the training programs (content creation, distribution, logistics and so on) as well as additional training expenses. These program</w:t>
      </w:r>
      <w:r w:rsidR="00B76DA0">
        <w:t xml:space="preserve">s </w:t>
      </w:r>
      <w:r w:rsidR="00B76DA0" w:rsidRPr="00B76DA0">
        <w:t xml:space="preserve">may consume a substantial amount of corporate time and money. An outside training provider can assist in identifying and reducing these hidden expenses, as well as taking on some of the related risks. This </w:t>
      </w:r>
      <w:r w:rsidR="00B76DA0" w:rsidRPr="00B76DA0">
        <w:t>maximizes</w:t>
      </w:r>
      <w:r w:rsidR="00B76DA0" w:rsidRPr="00B76DA0">
        <w:t xml:space="preserve"> the return on the training investment, freeing up cash for other training activities. In contrast, training providers spend in tools and procedures on a regular basis to improve efficiency.</w:t>
      </w:r>
    </w:p>
    <w:p w14:paraId="125A0B9D" w14:textId="276D851B" w:rsidR="005C66A1" w:rsidRDefault="005C66A1" w:rsidP="00843326">
      <w:pPr>
        <w:spacing w:after="252" w:line="259" w:lineRule="auto"/>
        <w:ind w:right="0" w:firstLine="0"/>
        <w:rPr>
          <w:b/>
          <w:color w:val="000000"/>
        </w:rPr>
      </w:pPr>
    </w:p>
    <w:p w14:paraId="2F9819BA" w14:textId="791FC1E5" w:rsidR="00152283" w:rsidRDefault="00152283" w:rsidP="00843326">
      <w:pPr>
        <w:spacing w:after="252" w:line="259" w:lineRule="auto"/>
        <w:ind w:right="0" w:firstLine="0"/>
        <w:rPr>
          <w:b/>
          <w:color w:val="000000"/>
        </w:rPr>
      </w:pPr>
    </w:p>
    <w:p w14:paraId="24FFA7DD" w14:textId="77777777" w:rsidR="001F638E" w:rsidRDefault="001F638E" w:rsidP="00B02EB9">
      <w:pPr>
        <w:spacing w:after="252" w:line="259" w:lineRule="auto"/>
        <w:ind w:right="0" w:firstLine="0"/>
        <w:rPr>
          <w:b/>
          <w:color w:val="000000"/>
        </w:rPr>
      </w:pPr>
    </w:p>
    <w:p w14:paraId="77E09498" w14:textId="1AEB6540" w:rsidR="008E0968" w:rsidRPr="008E0968" w:rsidRDefault="001F638E" w:rsidP="008E0968">
      <w:pPr>
        <w:spacing w:after="252" w:line="259" w:lineRule="auto"/>
        <w:ind w:left="720" w:right="0" w:firstLine="0"/>
        <w:jc w:val="center"/>
      </w:pPr>
      <w:r>
        <w:rPr>
          <w:b/>
          <w:color w:val="000000"/>
        </w:rPr>
        <w:t>Reference</w:t>
      </w:r>
      <w:r w:rsidR="008E0968">
        <w:rPr>
          <w:b/>
          <w:color w:val="000000"/>
        </w:rPr>
        <w:t>s</w:t>
      </w:r>
    </w:p>
    <w:p w14:paraId="1F699E1E" w14:textId="77777777" w:rsidR="008E0968" w:rsidRPr="008E0968" w:rsidRDefault="008E0968" w:rsidP="008E0968">
      <w:pPr>
        <w:spacing w:line="480" w:lineRule="auto"/>
        <w:ind w:left="715" w:right="0" w:hanging="720"/>
        <w:jc w:val="both"/>
        <w:rPr>
          <w:szCs w:val="24"/>
        </w:rPr>
      </w:pPr>
      <w:proofErr w:type="spellStart"/>
      <w:r w:rsidRPr="008E0968">
        <w:rPr>
          <w:color w:val="222222"/>
          <w:szCs w:val="24"/>
        </w:rPr>
        <w:t>Bertschek</w:t>
      </w:r>
      <w:proofErr w:type="spellEnd"/>
      <w:r w:rsidRPr="008E0968">
        <w:rPr>
          <w:color w:val="222222"/>
          <w:szCs w:val="24"/>
        </w:rPr>
        <w:t xml:space="preserve">, I., &amp; Meyer, J. (2009). Do older workers lower IT-enabled productivity? </w:t>
      </w:r>
      <w:proofErr w:type="spellStart"/>
      <w:r w:rsidRPr="008E0968">
        <w:rPr>
          <w:i/>
          <w:color w:val="222222"/>
          <w:szCs w:val="24"/>
        </w:rPr>
        <w:t>Jahrbücher</w:t>
      </w:r>
      <w:proofErr w:type="spellEnd"/>
      <w:r w:rsidRPr="008E0968">
        <w:rPr>
          <w:i/>
          <w:color w:val="222222"/>
          <w:szCs w:val="24"/>
        </w:rPr>
        <w:t xml:space="preserve"> </w:t>
      </w:r>
      <w:proofErr w:type="spellStart"/>
      <w:r w:rsidRPr="008E0968">
        <w:rPr>
          <w:i/>
          <w:color w:val="222222"/>
          <w:szCs w:val="24"/>
        </w:rPr>
        <w:t>für</w:t>
      </w:r>
      <w:proofErr w:type="spellEnd"/>
      <w:r w:rsidRPr="008E0968">
        <w:rPr>
          <w:i/>
          <w:color w:val="222222"/>
          <w:szCs w:val="24"/>
        </w:rPr>
        <w:t xml:space="preserve"> </w:t>
      </w:r>
      <w:proofErr w:type="spellStart"/>
      <w:r w:rsidRPr="008E0968">
        <w:rPr>
          <w:i/>
          <w:color w:val="222222"/>
          <w:szCs w:val="24"/>
        </w:rPr>
        <w:t>Nationalökonomie</w:t>
      </w:r>
      <w:proofErr w:type="spellEnd"/>
      <w:r w:rsidRPr="008E0968">
        <w:rPr>
          <w:i/>
          <w:color w:val="222222"/>
          <w:szCs w:val="24"/>
        </w:rPr>
        <w:t xml:space="preserve"> und </w:t>
      </w:r>
      <w:proofErr w:type="spellStart"/>
      <w:r w:rsidRPr="008E0968">
        <w:rPr>
          <w:i/>
          <w:color w:val="222222"/>
          <w:szCs w:val="24"/>
        </w:rPr>
        <w:t>Statistik</w:t>
      </w:r>
      <w:proofErr w:type="spellEnd"/>
      <w:r w:rsidRPr="008E0968">
        <w:rPr>
          <w:color w:val="222222"/>
          <w:szCs w:val="24"/>
        </w:rPr>
        <w:t xml:space="preserve">, </w:t>
      </w:r>
      <w:r w:rsidRPr="008E0968">
        <w:rPr>
          <w:i/>
          <w:color w:val="222222"/>
          <w:szCs w:val="24"/>
        </w:rPr>
        <w:t>229</w:t>
      </w:r>
      <w:r w:rsidRPr="008E0968">
        <w:rPr>
          <w:color w:val="222222"/>
          <w:szCs w:val="24"/>
        </w:rPr>
        <w:t>(2-3), 327-342.</w:t>
      </w:r>
    </w:p>
    <w:p w14:paraId="31E3B4D9" w14:textId="77777777" w:rsidR="008E0968" w:rsidRPr="008E0968" w:rsidRDefault="008E0968" w:rsidP="008E0968">
      <w:pPr>
        <w:spacing w:after="0" w:line="480" w:lineRule="auto"/>
        <w:ind w:right="0" w:firstLine="0"/>
        <w:jc w:val="both"/>
        <w:rPr>
          <w:color w:val="auto"/>
          <w:szCs w:val="24"/>
          <w:lang w:val="en-PK" w:eastAsia="en-GB"/>
        </w:rPr>
      </w:pPr>
      <w:r w:rsidRPr="008E0968">
        <w:rPr>
          <w:color w:val="222222"/>
          <w:szCs w:val="24"/>
          <w:shd w:val="clear" w:color="auto" w:fill="FFFFFF"/>
          <w:lang w:val="en-PK" w:eastAsia="en-GB"/>
        </w:rPr>
        <w:t>Buyens, D., Van Dijk, H., Dewilde, T., &amp; De Vos, A. (2009). The aging workforce: perceptions of career ending. </w:t>
      </w:r>
      <w:r w:rsidRPr="008E0968">
        <w:rPr>
          <w:i/>
          <w:iCs/>
          <w:color w:val="222222"/>
          <w:szCs w:val="24"/>
          <w:lang w:val="en-PK" w:eastAsia="en-GB"/>
        </w:rPr>
        <w:t>Journal of managerial psychology</w:t>
      </w:r>
      <w:r w:rsidRPr="008E0968">
        <w:rPr>
          <w:color w:val="222222"/>
          <w:szCs w:val="24"/>
          <w:shd w:val="clear" w:color="auto" w:fill="FFFFFF"/>
          <w:lang w:val="en-PK" w:eastAsia="en-GB"/>
        </w:rPr>
        <w:t>.</w:t>
      </w:r>
    </w:p>
    <w:p w14:paraId="079DBB68" w14:textId="77777777" w:rsidR="008E0968" w:rsidRPr="008E0968" w:rsidRDefault="008E0968" w:rsidP="008E0968">
      <w:pPr>
        <w:spacing w:after="252" w:line="480" w:lineRule="auto"/>
        <w:ind w:right="0" w:firstLine="0"/>
        <w:jc w:val="both"/>
        <w:rPr>
          <w:szCs w:val="24"/>
        </w:rPr>
      </w:pPr>
      <w:proofErr w:type="spellStart"/>
      <w:r w:rsidRPr="008E0968">
        <w:rPr>
          <w:color w:val="222222"/>
          <w:szCs w:val="24"/>
        </w:rPr>
        <w:t>Czaja</w:t>
      </w:r>
      <w:proofErr w:type="spellEnd"/>
      <w:r w:rsidRPr="008E0968">
        <w:rPr>
          <w:color w:val="222222"/>
          <w:szCs w:val="24"/>
        </w:rPr>
        <w:t xml:space="preserve">, S. J., &amp; Moen, P. (2004). Technology and employment. In </w:t>
      </w:r>
      <w:r w:rsidRPr="008E0968">
        <w:rPr>
          <w:i/>
          <w:color w:val="222222"/>
          <w:szCs w:val="24"/>
        </w:rPr>
        <w:t>Technology for adaptive aging</w:t>
      </w:r>
      <w:r w:rsidRPr="008E0968">
        <w:rPr>
          <w:color w:val="222222"/>
          <w:szCs w:val="24"/>
        </w:rPr>
        <w:t xml:space="preserve">. </w:t>
      </w:r>
    </w:p>
    <w:p w14:paraId="492B3EB3" w14:textId="77777777" w:rsidR="008E0968" w:rsidRPr="008E0968" w:rsidRDefault="008E0968" w:rsidP="008E0968">
      <w:pPr>
        <w:spacing w:after="0" w:line="480" w:lineRule="auto"/>
        <w:ind w:right="0" w:firstLine="0"/>
        <w:jc w:val="both"/>
        <w:rPr>
          <w:color w:val="auto"/>
          <w:szCs w:val="24"/>
          <w:lang w:val="en-PK" w:eastAsia="en-GB"/>
        </w:rPr>
      </w:pPr>
      <w:r w:rsidRPr="008E0968">
        <w:rPr>
          <w:color w:val="222222"/>
          <w:szCs w:val="24"/>
          <w:shd w:val="clear" w:color="auto" w:fill="FFFFFF"/>
          <w:lang w:val="en-PK" w:eastAsia="en-GB"/>
        </w:rPr>
        <w:t>Dychtwald, K., Erickson, T., &amp; Morison, B. (2004). It’s time to retire retirement. </w:t>
      </w:r>
      <w:r w:rsidRPr="008E0968">
        <w:rPr>
          <w:i/>
          <w:iCs/>
          <w:color w:val="222222"/>
          <w:szCs w:val="24"/>
          <w:lang w:val="en-PK" w:eastAsia="en-GB"/>
        </w:rPr>
        <w:t>Public Policy and Aging Report</w:t>
      </w:r>
      <w:r w:rsidRPr="008E0968">
        <w:rPr>
          <w:color w:val="222222"/>
          <w:szCs w:val="24"/>
          <w:shd w:val="clear" w:color="auto" w:fill="FFFFFF"/>
          <w:lang w:val="en-PK" w:eastAsia="en-GB"/>
        </w:rPr>
        <w:t>, </w:t>
      </w:r>
      <w:r w:rsidRPr="008E0968">
        <w:rPr>
          <w:i/>
          <w:iCs/>
          <w:color w:val="222222"/>
          <w:szCs w:val="24"/>
          <w:lang w:val="en-PK" w:eastAsia="en-GB"/>
        </w:rPr>
        <w:t>14</w:t>
      </w:r>
      <w:r w:rsidRPr="008E0968">
        <w:rPr>
          <w:color w:val="222222"/>
          <w:szCs w:val="24"/>
          <w:shd w:val="clear" w:color="auto" w:fill="FFFFFF"/>
          <w:lang w:val="en-PK" w:eastAsia="en-GB"/>
        </w:rPr>
        <w:t>(3), 1-28.</w:t>
      </w:r>
    </w:p>
    <w:p w14:paraId="1B114287" w14:textId="77777777" w:rsidR="008E0968" w:rsidRPr="008E0968" w:rsidRDefault="008E0968" w:rsidP="008E0968">
      <w:pPr>
        <w:spacing w:after="252" w:line="480" w:lineRule="auto"/>
        <w:ind w:right="0" w:firstLine="0"/>
        <w:jc w:val="both"/>
        <w:rPr>
          <w:szCs w:val="24"/>
        </w:rPr>
      </w:pPr>
      <w:proofErr w:type="spellStart"/>
      <w:r w:rsidRPr="008E0968">
        <w:rPr>
          <w:color w:val="222222"/>
          <w:szCs w:val="24"/>
        </w:rPr>
        <w:t>Eyster</w:t>
      </w:r>
      <w:proofErr w:type="spellEnd"/>
      <w:r w:rsidRPr="008E0968">
        <w:rPr>
          <w:color w:val="222222"/>
          <w:szCs w:val="24"/>
        </w:rPr>
        <w:t xml:space="preserve">, L. (2008). </w:t>
      </w:r>
      <w:r w:rsidRPr="008E0968">
        <w:rPr>
          <w:i/>
          <w:color w:val="222222"/>
          <w:szCs w:val="24"/>
        </w:rPr>
        <w:t>Current strategies to employ and retain older workers</w:t>
      </w:r>
      <w:r w:rsidRPr="008E0968">
        <w:rPr>
          <w:color w:val="222222"/>
          <w:szCs w:val="24"/>
        </w:rPr>
        <w:t>. Urban Institute.</w:t>
      </w:r>
    </w:p>
    <w:p w14:paraId="0032054C" w14:textId="77777777" w:rsidR="008E0968" w:rsidRPr="008E0968" w:rsidRDefault="008E0968" w:rsidP="008E0968">
      <w:pPr>
        <w:spacing w:after="0" w:line="480" w:lineRule="auto"/>
        <w:ind w:right="0" w:firstLine="0"/>
        <w:jc w:val="both"/>
        <w:rPr>
          <w:color w:val="auto"/>
          <w:szCs w:val="24"/>
          <w:lang w:val="en-PK" w:eastAsia="en-GB"/>
        </w:rPr>
      </w:pPr>
      <w:r w:rsidRPr="008E0968">
        <w:rPr>
          <w:color w:val="222222"/>
          <w:szCs w:val="24"/>
          <w:shd w:val="clear" w:color="auto" w:fill="FFFFFF"/>
          <w:lang w:val="en-PK" w:eastAsia="en-GB"/>
        </w:rPr>
        <w:t>Francis-Pettway, J. (2019). </w:t>
      </w:r>
      <w:r w:rsidRPr="008E0968">
        <w:rPr>
          <w:i/>
          <w:iCs/>
          <w:color w:val="222222"/>
          <w:szCs w:val="24"/>
          <w:lang w:val="en-PK" w:eastAsia="en-GB"/>
        </w:rPr>
        <w:t>An Aging Workforce and the Technology Gap: An Exploratory Multiple Case Study</w:t>
      </w:r>
      <w:r w:rsidRPr="008E0968">
        <w:rPr>
          <w:color w:val="222222"/>
          <w:szCs w:val="24"/>
          <w:shd w:val="clear" w:color="auto" w:fill="FFFFFF"/>
          <w:lang w:val="en-PK" w:eastAsia="en-GB"/>
        </w:rPr>
        <w:t>(Doctoral dissertation, Walden University).</w:t>
      </w:r>
    </w:p>
    <w:p w14:paraId="741D8E2E" w14:textId="77777777" w:rsidR="008E0968" w:rsidRDefault="008E0968" w:rsidP="008E0968">
      <w:pPr>
        <w:spacing w:line="480" w:lineRule="auto"/>
        <w:ind w:left="715" w:right="0" w:hanging="720"/>
        <w:jc w:val="both"/>
        <w:rPr>
          <w:szCs w:val="24"/>
        </w:rPr>
      </w:pPr>
      <w:r w:rsidRPr="008E0968">
        <w:rPr>
          <w:color w:val="222222"/>
          <w:szCs w:val="24"/>
        </w:rPr>
        <w:t xml:space="preserve">Friedberg, L. (1997). The Impact of Technological Change on Older Workers. </w:t>
      </w:r>
      <w:r w:rsidRPr="008E0968">
        <w:rPr>
          <w:i/>
          <w:color w:val="222222"/>
          <w:szCs w:val="24"/>
        </w:rPr>
        <w:t>Evidence from data on computer use</w:t>
      </w:r>
      <w:r w:rsidRPr="008E0968">
        <w:rPr>
          <w:color w:val="222222"/>
          <w:szCs w:val="24"/>
        </w:rPr>
        <w:t>, 511-529.</w:t>
      </w:r>
    </w:p>
    <w:p w14:paraId="53882451" w14:textId="45D0BE33" w:rsidR="008E0968" w:rsidRPr="008E0968" w:rsidRDefault="008E0968" w:rsidP="008E0968">
      <w:pPr>
        <w:spacing w:line="480" w:lineRule="auto"/>
        <w:ind w:left="715" w:right="0" w:hanging="720"/>
        <w:jc w:val="both"/>
        <w:rPr>
          <w:szCs w:val="24"/>
        </w:rPr>
      </w:pPr>
      <w:proofErr w:type="spellStart"/>
      <w:r w:rsidRPr="008E0968">
        <w:rPr>
          <w:color w:val="222222"/>
          <w:szCs w:val="24"/>
        </w:rPr>
        <w:t>Githens</w:t>
      </w:r>
      <w:proofErr w:type="spellEnd"/>
      <w:r w:rsidRPr="008E0968">
        <w:rPr>
          <w:color w:val="222222"/>
          <w:szCs w:val="24"/>
        </w:rPr>
        <w:t xml:space="preserve">, R. P. (2007). Older adults and e-learning: Opportunities and barriers. </w:t>
      </w:r>
      <w:r w:rsidRPr="008E0968">
        <w:rPr>
          <w:i/>
          <w:color w:val="222222"/>
          <w:szCs w:val="24"/>
        </w:rPr>
        <w:t>Quarterly Review of Distance Education</w:t>
      </w:r>
      <w:r w:rsidRPr="008E0968">
        <w:rPr>
          <w:color w:val="222222"/>
          <w:szCs w:val="24"/>
        </w:rPr>
        <w:t xml:space="preserve">, </w:t>
      </w:r>
      <w:r w:rsidRPr="008E0968">
        <w:rPr>
          <w:i/>
          <w:color w:val="222222"/>
          <w:szCs w:val="24"/>
        </w:rPr>
        <w:t>8</w:t>
      </w:r>
      <w:r w:rsidRPr="008E0968">
        <w:rPr>
          <w:color w:val="222222"/>
          <w:szCs w:val="24"/>
        </w:rPr>
        <w:t>(4), 329.</w:t>
      </w:r>
    </w:p>
    <w:p w14:paraId="58772C71" w14:textId="77777777" w:rsidR="008E0968" w:rsidRDefault="008E0968" w:rsidP="008E0968">
      <w:pPr>
        <w:spacing w:after="0" w:line="480" w:lineRule="auto"/>
        <w:ind w:right="0" w:firstLine="0"/>
        <w:jc w:val="both"/>
        <w:rPr>
          <w:color w:val="auto"/>
          <w:szCs w:val="24"/>
          <w:lang w:val="en-PK" w:eastAsia="en-GB"/>
        </w:rPr>
      </w:pPr>
      <w:r w:rsidRPr="008E0968">
        <w:rPr>
          <w:color w:val="222222"/>
          <w:szCs w:val="24"/>
          <w:shd w:val="clear" w:color="auto" w:fill="FFFFFF"/>
          <w:lang w:val="en-PK" w:eastAsia="en-GB"/>
        </w:rPr>
        <w:t>Hertel, G., &amp; Zacher, H. (2018). Managing the aging workforce. </w:t>
      </w:r>
      <w:r w:rsidRPr="008E0968">
        <w:rPr>
          <w:i/>
          <w:iCs/>
          <w:color w:val="222222"/>
          <w:szCs w:val="24"/>
          <w:lang w:val="en-PK" w:eastAsia="en-GB"/>
        </w:rPr>
        <w:t>The SAGE handbook of industrial, work and organization psychology</w:t>
      </w:r>
      <w:r w:rsidRPr="008E0968">
        <w:rPr>
          <w:color w:val="222222"/>
          <w:szCs w:val="24"/>
          <w:shd w:val="clear" w:color="auto" w:fill="FFFFFF"/>
          <w:lang w:val="en-PK" w:eastAsia="en-GB"/>
        </w:rPr>
        <w:t>, </w:t>
      </w:r>
      <w:r w:rsidRPr="008E0968">
        <w:rPr>
          <w:i/>
          <w:iCs/>
          <w:color w:val="222222"/>
          <w:szCs w:val="24"/>
          <w:lang w:val="en-PK" w:eastAsia="en-GB"/>
        </w:rPr>
        <w:t>3</w:t>
      </w:r>
      <w:r w:rsidRPr="008E0968">
        <w:rPr>
          <w:color w:val="222222"/>
          <w:szCs w:val="24"/>
          <w:shd w:val="clear" w:color="auto" w:fill="FFFFFF"/>
          <w:lang w:val="en-PK" w:eastAsia="en-GB"/>
        </w:rPr>
        <w:t>, 396-428.</w:t>
      </w:r>
    </w:p>
    <w:p w14:paraId="3251DE53" w14:textId="2B077744" w:rsidR="008E0968" w:rsidRPr="008E0968" w:rsidRDefault="008E0968" w:rsidP="008E0968">
      <w:pPr>
        <w:spacing w:after="0" w:line="480" w:lineRule="auto"/>
        <w:ind w:right="0" w:firstLine="0"/>
        <w:jc w:val="both"/>
        <w:rPr>
          <w:color w:val="auto"/>
          <w:szCs w:val="24"/>
          <w:lang w:val="en-PK" w:eastAsia="en-GB"/>
        </w:rPr>
      </w:pPr>
      <w:r w:rsidRPr="008E0968">
        <w:rPr>
          <w:color w:val="222222"/>
          <w:szCs w:val="24"/>
        </w:rPr>
        <w:t xml:space="preserve">Ilmarinen, J. E. (2001). Aging workers. </w:t>
      </w:r>
      <w:r w:rsidRPr="008E0968">
        <w:rPr>
          <w:i/>
          <w:color w:val="222222"/>
          <w:szCs w:val="24"/>
        </w:rPr>
        <w:t>Occupational and environmental medicine</w:t>
      </w:r>
      <w:r w:rsidRPr="008E0968">
        <w:rPr>
          <w:color w:val="222222"/>
          <w:szCs w:val="24"/>
        </w:rPr>
        <w:t xml:space="preserve">, </w:t>
      </w:r>
      <w:r w:rsidRPr="008E0968">
        <w:rPr>
          <w:i/>
          <w:color w:val="222222"/>
          <w:szCs w:val="24"/>
        </w:rPr>
        <w:t>58</w:t>
      </w:r>
      <w:r w:rsidRPr="008E0968">
        <w:rPr>
          <w:color w:val="222222"/>
          <w:szCs w:val="24"/>
        </w:rPr>
        <w:t>(8), 546-</w:t>
      </w:r>
    </w:p>
    <w:p w14:paraId="345AC8B6" w14:textId="5E797FAA" w:rsidR="008E0968" w:rsidRPr="008E0968" w:rsidRDefault="008E0968" w:rsidP="008E0968">
      <w:pPr>
        <w:spacing w:after="0" w:line="480" w:lineRule="auto"/>
        <w:ind w:right="0" w:firstLine="0"/>
        <w:jc w:val="both"/>
        <w:rPr>
          <w:color w:val="auto"/>
          <w:szCs w:val="24"/>
          <w:lang w:val="en-PK" w:eastAsia="en-GB"/>
        </w:rPr>
      </w:pPr>
      <w:r w:rsidRPr="008E0968">
        <w:rPr>
          <w:color w:val="222222"/>
          <w:szCs w:val="24"/>
          <w:shd w:val="clear" w:color="auto" w:fill="FFFFFF"/>
          <w:lang w:val="en-PK" w:eastAsia="en-GB"/>
        </w:rPr>
        <w:t>Kadefors, R., &amp; Hanse, J. J. (2012). Employers’ attitudes toward older workers and obstacles and opportunities for the older unemployed to reenter working life. </w:t>
      </w:r>
      <w:r w:rsidRPr="008E0968">
        <w:rPr>
          <w:i/>
          <w:iCs/>
          <w:color w:val="222222"/>
          <w:szCs w:val="24"/>
          <w:lang w:val="en-PK" w:eastAsia="en-GB"/>
        </w:rPr>
        <w:t>Nordic Journal of Working Life Studies</w:t>
      </w:r>
      <w:r w:rsidRPr="008E0968">
        <w:rPr>
          <w:color w:val="222222"/>
          <w:szCs w:val="24"/>
          <w:shd w:val="clear" w:color="auto" w:fill="FFFFFF"/>
          <w:lang w:val="en-PK" w:eastAsia="en-GB"/>
        </w:rPr>
        <w:t>, </w:t>
      </w:r>
      <w:r w:rsidRPr="008E0968">
        <w:rPr>
          <w:i/>
          <w:iCs/>
          <w:color w:val="222222"/>
          <w:szCs w:val="24"/>
          <w:lang w:val="en-PK" w:eastAsia="en-GB"/>
        </w:rPr>
        <w:t>2</w:t>
      </w:r>
      <w:r w:rsidRPr="008E0968">
        <w:rPr>
          <w:color w:val="222222"/>
          <w:szCs w:val="24"/>
          <w:shd w:val="clear" w:color="auto" w:fill="FFFFFF"/>
          <w:lang w:val="en-PK" w:eastAsia="en-GB"/>
        </w:rPr>
        <w:t>(3), 29-47.</w:t>
      </w:r>
    </w:p>
    <w:p w14:paraId="1A48DAB7" w14:textId="77777777" w:rsidR="008E0968" w:rsidRDefault="008E0968" w:rsidP="008E0968">
      <w:pPr>
        <w:spacing w:line="480" w:lineRule="auto"/>
        <w:ind w:left="715" w:right="0" w:hanging="720"/>
        <w:jc w:val="both"/>
        <w:rPr>
          <w:szCs w:val="24"/>
        </w:rPr>
      </w:pPr>
      <w:r w:rsidRPr="008E0968">
        <w:rPr>
          <w:color w:val="222222"/>
          <w:szCs w:val="24"/>
        </w:rPr>
        <w:lastRenderedPageBreak/>
        <w:t xml:space="preserve">Lee, C. C., </w:t>
      </w:r>
      <w:proofErr w:type="spellStart"/>
      <w:r w:rsidRPr="008E0968">
        <w:rPr>
          <w:color w:val="222222"/>
          <w:szCs w:val="24"/>
        </w:rPr>
        <w:t>Czaja</w:t>
      </w:r>
      <w:proofErr w:type="spellEnd"/>
      <w:r w:rsidRPr="008E0968">
        <w:rPr>
          <w:color w:val="222222"/>
          <w:szCs w:val="24"/>
        </w:rPr>
        <w:t xml:space="preserve">, S. J., &amp; </w:t>
      </w:r>
      <w:proofErr w:type="spellStart"/>
      <w:r w:rsidRPr="008E0968">
        <w:rPr>
          <w:color w:val="222222"/>
          <w:szCs w:val="24"/>
        </w:rPr>
        <w:t>Sharit</w:t>
      </w:r>
      <w:proofErr w:type="spellEnd"/>
      <w:r w:rsidRPr="008E0968">
        <w:rPr>
          <w:color w:val="222222"/>
          <w:szCs w:val="24"/>
        </w:rPr>
        <w:t xml:space="preserve">, J. (2008). Training older workers for technology-based employment. </w:t>
      </w:r>
      <w:r w:rsidRPr="008E0968">
        <w:rPr>
          <w:i/>
          <w:color w:val="222222"/>
          <w:szCs w:val="24"/>
        </w:rPr>
        <w:t>Educational Gerontology</w:t>
      </w:r>
      <w:r w:rsidRPr="008E0968">
        <w:rPr>
          <w:color w:val="222222"/>
          <w:szCs w:val="24"/>
        </w:rPr>
        <w:t xml:space="preserve">, </w:t>
      </w:r>
      <w:r w:rsidRPr="008E0968">
        <w:rPr>
          <w:i/>
          <w:color w:val="222222"/>
          <w:szCs w:val="24"/>
        </w:rPr>
        <w:t>35</w:t>
      </w:r>
      <w:r w:rsidRPr="008E0968">
        <w:rPr>
          <w:color w:val="222222"/>
          <w:szCs w:val="24"/>
        </w:rPr>
        <w:t>(1), 15-31.</w:t>
      </w:r>
    </w:p>
    <w:p w14:paraId="439912D8" w14:textId="19959383" w:rsidR="008E0968" w:rsidRPr="00F50BFF" w:rsidRDefault="008E0968" w:rsidP="008E0968">
      <w:pPr>
        <w:spacing w:line="480" w:lineRule="auto"/>
        <w:ind w:left="715" w:right="0" w:hanging="720"/>
        <w:jc w:val="both"/>
        <w:rPr>
          <w:szCs w:val="24"/>
        </w:rPr>
      </w:pPr>
      <w:r w:rsidRPr="00F50BFF">
        <w:rPr>
          <w:color w:val="222222"/>
          <w:szCs w:val="24"/>
          <w:shd w:val="clear" w:color="auto" w:fill="FFFFFF"/>
          <w:lang w:val="en-PK" w:eastAsia="en-GB"/>
        </w:rPr>
        <w:t>Maletis, D. (2014). Technology-Based Training for Older Employees: A Literature Review.</w:t>
      </w:r>
    </w:p>
    <w:p w14:paraId="6274BD96" w14:textId="77777777" w:rsidR="008E0968" w:rsidRPr="008E0968" w:rsidRDefault="008E0968" w:rsidP="008E0968">
      <w:pPr>
        <w:spacing w:line="480" w:lineRule="auto"/>
        <w:ind w:left="715" w:right="0" w:hanging="720"/>
        <w:jc w:val="both"/>
        <w:rPr>
          <w:szCs w:val="24"/>
        </w:rPr>
      </w:pPr>
      <w:r w:rsidRPr="008E0968">
        <w:rPr>
          <w:color w:val="222222"/>
          <w:szCs w:val="24"/>
        </w:rPr>
        <w:t xml:space="preserve">McIntosh, T. (2020). </w:t>
      </w:r>
      <w:r w:rsidRPr="008E0968">
        <w:rPr>
          <w:i/>
          <w:color w:val="222222"/>
          <w:szCs w:val="24"/>
        </w:rPr>
        <w:t>The Impact of Technological Advances on Older Workers</w:t>
      </w:r>
      <w:r w:rsidRPr="008E0968">
        <w:rPr>
          <w:color w:val="222222"/>
          <w:szCs w:val="24"/>
        </w:rPr>
        <w:t xml:space="preserve"> (Doctoral dissertation, Walden University).</w:t>
      </w:r>
    </w:p>
    <w:p w14:paraId="339A0A85" w14:textId="77777777" w:rsidR="008E0968" w:rsidRPr="008E0968" w:rsidRDefault="008E0968" w:rsidP="008E0968">
      <w:pPr>
        <w:spacing w:line="480" w:lineRule="auto"/>
        <w:ind w:left="715" w:right="0" w:hanging="720"/>
        <w:jc w:val="both"/>
        <w:rPr>
          <w:szCs w:val="24"/>
        </w:rPr>
      </w:pPr>
      <w:proofErr w:type="spellStart"/>
      <w:r w:rsidRPr="008E0968">
        <w:rPr>
          <w:color w:val="222222"/>
          <w:szCs w:val="24"/>
        </w:rPr>
        <w:t>Meyhew</w:t>
      </w:r>
      <w:proofErr w:type="spellEnd"/>
      <w:r w:rsidRPr="008E0968">
        <w:rPr>
          <w:color w:val="222222"/>
          <w:szCs w:val="24"/>
        </w:rPr>
        <w:t xml:space="preserve">, K., &amp; </w:t>
      </w:r>
      <w:proofErr w:type="spellStart"/>
      <w:r w:rsidRPr="008E0968">
        <w:rPr>
          <w:color w:val="222222"/>
          <w:szCs w:val="24"/>
        </w:rPr>
        <w:t>Rijkers</w:t>
      </w:r>
      <w:proofErr w:type="spellEnd"/>
      <w:r w:rsidRPr="008E0968">
        <w:rPr>
          <w:color w:val="222222"/>
          <w:szCs w:val="24"/>
        </w:rPr>
        <w:t xml:space="preserve">, B. (2004). How to improve the human capital of older workers. In </w:t>
      </w:r>
      <w:r w:rsidRPr="008E0968">
        <w:rPr>
          <w:i/>
          <w:color w:val="222222"/>
          <w:szCs w:val="24"/>
        </w:rPr>
        <w:t xml:space="preserve">joint seminar on human capital and </w:t>
      </w:r>
      <w:proofErr w:type="spellStart"/>
      <w:r w:rsidRPr="008E0968">
        <w:rPr>
          <w:i/>
          <w:color w:val="222222"/>
          <w:szCs w:val="24"/>
        </w:rPr>
        <w:t>labour</w:t>
      </w:r>
      <w:proofErr w:type="spellEnd"/>
      <w:r w:rsidRPr="008E0968">
        <w:rPr>
          <w:i/>
          <w:color w:val="222222"/>
          <w:szCs w:val="24"/>
        </w:rPr>
        <w:t xml:space="preserve"> market performance. Brussels</w:t>
      </w:r>
      <w:r w:rsidRPr="008E0968">
        <w:rPr>
          <w:color w:val="222222"/>
          <w:szCs w:val="24"/>
        </w:rPr>
        <w:t>.</w:t>
      </w:r>
    </w:p>
    <w:p w14:paraId="2E881727" w14:textId="77777777" w:rsidR="008E0968" w:rsidRDefault="008E0968" w:rsidP="008E0968">
      <w:pPr>
        <w:spacing w:line="480" w:lineRule="auto"/>
        <w:ind w:left="715" w:right="0" w:hanging="720"/>
        <w:jc w:val="both"/>
        <w:rPr>
          <w:szCs w:val="24"/>
        </w:rPr>
      </w:pPr>
      <w:proofErr w:type="spellStart"/>
      <w:r w:rsidRPr="008E0968">
        <w:rPr>
          <w:color w:val="222222"/>
          <w:szCs w:val="24"/>
        </w:rPr>
        <w:t>Mosner</w:t>
      </w:r>
      <w:proofErr w:type="spellEnd"/>
      <w:r w:rsidRPr="008E0968">
        <w:rPr>
          <w:color w:val="222222"/>
          <w:szCs w:val="24"/>
        </w:rPr>
        <w:t xml:space="preserve">, E., &amp; </w:t>
      </w:r>
      <w:proofErr w:type="spellStart"/>
      <w:r w:rsidRPr="008E0968">
        <w:rPr>
          <w:color w:val="222222"/>
          <w:szCs w:val="24"/>
        </w:rPr>
        <w:t>Spiezle</w:t>
      </w:r>
      <w:proofErr w:type="spellEnd"/>
      <w:r w:rsidRPr="008E0968">
        <w:rPr>
          <w:color w:val="222222"/>
          <w:szCs w:val="24"/>
        </w:rPr>
        <w:t xml:space="preserve">, C. (2003). The convergence of the aging workforce and accessible technology. </w:t>
      </w:r>
      <w:r w:rsidRPr="008E0968">
        <w:rPr>
          <w:i/>
          <w:color w:val="222222"/>
          <w:szCs w:val="24"/>
        </w:rPr>
        <w:t>Microsoft Accessible Technology Group</w:t>
      </w:r>
      <w:r w:rsidRPr="008E0968">
        <w:rPr>
          <w:color w:val="222222"/>
          <w:szCs w:val="24"/>
        </w:rPr>
        <w:t>.</w:t>
      </w:r>
    </w:p>
    <w:p w14:paraId="159AFA86" w14:textId="77777777" w:rsidR="008E0968" w:rsidRDefault="008E0968" w:rsidP="008E0968">
      <w:pPr>
        <w:spacing w:line="480" w:lineRule="auto"/>
        <w:ind w:left="715" w:right="0" w:hanging="720"/>
        <w:jc w:val="both"/>
        <w:rPr>
          <w:szCs w:val="24"/>
        </w:rPr>
      </w:pPr>
      <w:r w:rsidRPr="00F50BFF">
        <w:rPr>
          <w:color w:val="222222"/>
          <w:szCs w:val="24"/>
          <w:shd w:val="clear" w:color="auto" w:fill="FFFFFF"/>
          <w:lang w:val="en-PK" w:eastAsia="en-GB"/>
        </w:rPr>
        <w:t>Picchio, M. (2015). Is training effective for older workers?. </w:t>
      </w:r>
      <w:r w:rsidRPr="00F50BFF">
        <w:rPr>
          <w:i/>
          <w:iCs/>
          <w:color w:val="222222"/>
          <w:szCs w:val="24"/>
          <w:lang w:val="en-PK" w:eastAsia="en-GB"/>
        </w:rPr>
        <w:t>IZA World of Labor</w:t>
      </w:r>
      <w:r w:rsidRPr="00F50BFF">
        <w:rPr>
          <w:color w:val="222222"/>
          <w:szCs w:val="24"/>
          <w:shd w:val="clear" w:color="auto" w:fill="FFFFFF"/>
          <w:lang w:val="en-PK" w:eastAsia="en-GB"/>
        </w:rPr>
        <w:t>.</w:t>
      </w:r>
    </w:p>
    <w:p w14:paraId="11AD650A" w14:textId="610EF35C" w:rsidR="008E0968" w:rsidRPr="008E0968" w:rsidRDefault="008E0968" w:rsidP="008E0968">
      <w:pPr>
        <w:spacing w:line="480" w:lineRule="auto"/>
        <w:ind w:left="715" w:right="0" w:hanging="720"/>
        <w:jc w:val="both"/>
        <w:rPr>
          <w:szCs w:val="24"/>
        </w:rPr>
      </w:pPr>
      <w:r w:rsidRPr="008E0968">
        <w:rPr>
          <w:color w:val="222222"/>
          <w:szCs w:val="24"/>
          <w:shd w:val="clear" w:color="auto" w:fill="FFFFFF"/>
          <w:lang w:val="en-PK" w:eastAsia="en-GB"/>
        </w:rPr>
        <w:t>Salas, E., Tannenbaum, S. I., Kraiger, K., &amp; Smith-Jentsch, K. A. (2012). The science of training and development in organizations: What matters in practice. </w:t>
      </w:r>
      <w:r w:rsidRPr="008E0968">
        <w:rPr>
          <w:i/>
          <w:iCs/>
          <w:color w:val="222222"/>
          <w:szCs w:val="24"/>
          <w:lang w:val="en-PK" w:eastAsia="en-GB"/>
        </w:rPr>
        <w:t>Psychological science in the public interest</w:t>
      </w:r>
      <w:r w:rsidRPr="008E0968">
        <w:rPr>
          <w:color w:val="222222"/>
          <w:szCs w:val="24"/>
          <w:shd w:val="clear" w:color="auto" w:fill="FFFFFF"/>
          <w:lang w:val="en-PK" w:eastAsia="en-GB"/>
        </w:rPr>
        <w:t>, </w:t>
      </w:r>
      <w:r w:rsidRPr="008E0968">
        <w:rPr>
          <w:i/>
          <w:iCs/>
          <w:color w:val="222222"/>
          <w:szCs w:val="24"/>
          <w:lang w:val="en-PK" w:eastAsia="en-GB"/>
        </w:rPr>
        <w:t>13</w:t>
      </w:r>
      <w:r w:rsidRPr="008E0968">
        <w:rPr>
          <w:color w:val="222222"/>
          <w:szCs w:val="24"/>
          <w:shd w:val="clear" w:color="auto" w:fill="FFFFFF"/>
          <w:lang w:val="en-PK" w:eastAsia="en-GB"/>
        </w:rPr>
        <w:t>(2), 74-101.</w:t>
      </w:r>
    </w:p>
    <w:p w14:paraId="4E21230F" w14:textId="77777777" w:rsidR="008E0968" w:rsidRDefault="008E0968" w:rsidP="008E0968">
      <w:pPr>
        <w:spacing w:line="480" w:lineRule="auto"/>
        <w:ind w:left="715" w:right="0" w:hanging="720"/>
        <w:jc w:val="both"/>
        <w:rPr>
          <w:szCs w:val="24"/>
        </w:rPr>
      </w:pPr>
      <w:r w:rsidRPr="008E0968">
        <w:rPr>
          <w:color w:val="222222"/>
          <w:szCs w:val="24"/>
        </w:rPr>
        <w:t xml:space="preserve">Singer, C., &amp; </w:t>
      </w:r>
      <w:proofErr w:type="spellStart"/>
      <w:r w:rsidRPr="008E0968">
        <w:rPr>
          <w:color w:val="222222"/>
          <w:szCs w:val="24"/>
        </w:rPr>
        <w:t>Toomet</w:t>
      </w:r>
      <w:proofErr w:type="spellEnd"/>
      <w:r w:rsidRPr="008E0968">
        <w:rPr>
          <w:color w:val="222222"/>
          <w:szCs w:val="24"/>
        </w:rPr>
        <w:t xml:space="preserve">, O. S. (2013). </w:t>
      </w:r>
      <w:r w:rsidRPr="008E0968">
        <w:rPr>
          <w:i/>
          <w:color w:val="222222"/>
          <w:szCs w:val="24"/>
        </w:rPr>
        <w:t>On government-subsidized training programs for older workers</w:t>
      </w:r>
      <w:r w:rsidRPr="008E0968">
        <w:rPr>
          <w:color w:val="222222"/>
          <w:szCs w:val="24"/>
        </w:rPr>
        <w:t xml:space="preserve"> (No. 21/2013). IAB-Discussion Paper.</w:t>
      </w:r>
    </w:p>
    <w:p w14:paraId="4B1EF0BB" w14:textId="3C16B4C1" w:rsidR="008E0968" w:rsidRPr="008E0968" w:rsidRDefault="008E0968" w:rsidP="008E0968">
      <w:pPr>
        <w:spacing w:line="480" w:lineRule="auto"/>
        <w:ind w:left="715" w:right="0" w:hanging="720"/>
        <w:jc w:val="both"/>
        <w:rPr>
          <w:szCs w:val="24"/>
        </w:rPr>
      </w:pPr>
      <w:r w:rsidRPr="008E0968">
        <w:rPr>
          <w:color w:val="222222"/>
          <w:szCs w:val="24"/>
        </w:rPr>
        <w:t xml:space="preserve">Thompson, L. F., &amp; </w:t>
      </w:r>
      <w:proofErr w:type="spellStart"/>
      <w:r w:rsidRPr="008E0968">
        <w:rPr>
          <w:color w:val="222222"/>
          <w:szCs w:val="24"/>
        </w:rPr>
        <w:t>Mayhorn</w:t>
      </w:r>
      <w:proofErr w:type="spellEnd"/>
      <w:r w:rsidRPr="008E0968">
        <w:rPr>
          <w:color w:val="222222"/>
          <w:szCs w:val="24"/>
        </w:rPr>
        <w:t>, C. B. (2012). Aging workers and technology.</w:t>
      </w:r>
    </w:p>
    <w:sectPr w:rsidR="008E0968" w:rsidRPr="008E0968">
      <w:headerReference w:type="even" r:id="rId6"/>
      <w:headerReference w:type="default" r:id="rId7"/>
      <w:headerReference w:type="first" r:id="rId8"/>
      <w:pgSz w:w="12240" w:h="15840"/>
      <w:pgMar w:top="778" w:right="1440" w:bottom="1981" w:left="1440" w:header="77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23C1" w14:textId="77777777" w:rsidR="000E13A1" w:rsidRDefault="000E13A1">
      <w:pPr>
        <w:spacing w:after="0" w:line="240" w:lineRule="auto"/>
      </w:pPr>
      <w:r>
        <w:separator/>
      </w:r>
    </w:p>
  </w:endnote>
  <w:endnote w:type="continuationSeparator" w:id="0">
    <w:p w14:paraId="799DBAED" w14:textId="77777777" w:rsidR="000E13A1" w:rsidRDefault="000E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2C4E" w14:textId="77777777" w:rsidR="000E13A1" w:rsidRDefault="000E13A1">
      <w:pPr>
        <w:spacing w:after="0" w:line="240" w:lineRule="auto"/>
      </w:pPr>
      <w:r>
        <w:separator/>
      </w:r>
    </w:p>
  </w:footnote>
  <w:footnote w:type="continuationSeparator" w:id="0">
    <w:p w14:paraId="5367BE98" w14:textId="77777777" w:rsidR="000E13A1" w:rsidRDefault="000E1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C587" w14:textId="77777777" w:rsidR="00556A18" w:rsidRDefault="001F638E">
    <w:pPr>
      <w:tabs>
        <w:tab w:val="right" w:pos="9360"/>
      </w:tabs>
      <w:spacing w:after="0" w:line="259" w:lineRule="auto"/>
      <w:ind w:right="0" w:firstLine="0"/>
    </w:pPr>
    <w:r>
      <w:rPr>
        <w:color w:val="000000"/>
      </w:rPr>
      <w:t xml:space="preserve">TECHNOLOGY CHANGE ON OLDER WORKERS </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F7E9" w14:textId="77777777" w:rsidR="00556A18" w:rsidRDefault="001F638E">
    <w:pPr>
      <w:tabs>
        <w:tab w:val="right" w:pos="9360"/>
      </w:tabs>
      <w:spacing w:after="0" w:line="259" w:lineRule="auto"/>
      <w:ind w:right="0" w:firstLine="0"/>
    </w:pPr>
    <w:r>
      <w:rPr>
        <w:color w:val="000000"/>
      </w:rPr>
      <w:t xml:space="preserve">TECHNOLOGY CHANGE ON OLDER WORKERS </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0916" w14:textId="77777777" w:rsidR="00556A18" w:rsidRDefault="001F638E">
    <w:pPr>
      <w:spacing w:after="0" w:line="259" w:lineRule="auto"/>
      <w:ind w:right="0" w:firstLine="0"/>
      <w:jc w:val="right"/>
    </w:pPr>
    <w:r>
      <w:fldChar w:fldCharType="begin"/>
    </w:r>
    <w:r>
      <w:instrText xml:space="preserve"> PAGE   \* MERGEFORMAT </w:instrText>
    </w:r>
    <w:r>
      <w:fldChar w:fldCharType="separate"/>
    </w:r>
    <w:r>
      <w:rPr>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18"/>
    <w:rsid w:val="00052E84"/>
    <w:rsid w:val="00082BB2"/>
    <w:rsid w:val="0009087D"/>
    <w:rsid w:val="000E13A1"/>
    <w:rsid w:val="000E7B02"/>
    <w:rsid w:val="00152283"/>
    <w:rsid w:val="00176176"/>
    <w:rsid w:val="001D0EF2"/>
    <w:rsid w:val="001F638E"/>
    <w:rsid w:val="002024A6"/>
    <w:rsid w:val="002243BD"/>
    <w:rsid w:val="00285EE9"/>
    <w:rsid w:val="002F6837"/>
    <w:rsid w:val="00363318"/>
    <w:rsid w:val="00422BE0"/>
    <w:rsid w:val="00556A18"/>
    <w:rsid w:val="005B4CA0"/>
    <w:rsid w:val="005C66A1"/>
    <w:rsid w:val="005F0CE6"/>
    <w:rsid w:val="006F7AC9"/>
    <w:rsid w:val="00737615"/>
    <w:rsid w:val="007529F2"/>
    <w:rsid w:val="0076694E"/>
    <w:rsid w:val="00811000"/>
    <w:rsid w:val="00843326"/>
    <w:rsid w:val="00877C18"/>
    <w:rsid w:val="008B6AAD"/>
    <w:rsid w:val="008E0968"/>
    <w:rsid w:val="0099394B"/>
    <w:rsid w:val="009C41A2"/>
    <w:rsid w:val="009E433B"/>
    <w:rsid w:val="00A20362"/>
    <w:rsid w:val="00AA77DA"/>
    <w:rsid w:val="00AE42D4"/>
    <w:rsid w:val="00B02EB9"/>
    <w:rsid w:val="00B76DA0"/>
    <w:rsid w:val="00C53B15"/>
    <w:rsid w:val="00CD6458"/>
    <w:rsid w:val="00D85736"/>
    <w:rsid w:val="00DD168E"/>
    <w:rsid w:val="00DF6585"/>
    <w:rsid w:val="00E42EC0"/>
    <w:rsid w:val="00F02A8A"/>
    <w:rsid w:val="00F335FB"/>
    <w:rsid w:val="00F50BFF"/>
    <w:rsid w:val="00F91ACC"/>
    <w:rsid w:val="00FE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FAA5"/>
  <w15:docId w15:val="{70A45A8A-319E-4D87-A4D8-C877D54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6" w:lineRule="auto"/>
      <w:ind w:right="2701" w:firstLine="710"/>
    </w:pPr>
    <w:rPr>
      <w:rFonts w:ascii="Times New Roman" w:eastAsia="Times New Roman" w:hAnsi="Times New Roman" w:cs="Times New Roman"/>
      <w:color w:val="0E101A"/>
      <w:sz w:val="24"/>
    </w:rPr>
  </w:style>
  <w:style w:type="paragraph" w:styleId="Heading1">
    <w:name w:val="heading 1"/>
    <w:next w:val="Normal"/>
    <w:link w:val="Heading1Char"/>
    <w:uiPriority w:val="9"/>
    <w:qFormat/>
    <w:pPr>
      <w:keepNext/>
      <w:keepLines/>
      <w:spacing w:after="249"/>
      <w:ind w:left="730" w:hanging="10"/>
      <w:outlineLvl w:val="0"/>
    </w:pPr>
    <w:rPr>
      <w:rFonts w:ascii="Times New Roman" w:eastAsia="Times New Roman" w:hAnsi="Times New Roman" w:cs="Times New Roman"/>
      <w:b/>
      <w:color w:val="0E101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E101A"/>
      <w:sz w:val="24"/>
    </w:rPr>
  </w:style>
  <w:style w:type="paragraph" w:styleId="Footer">
    <w:name w:val="footer"/>
    <w:basedOn w:val="Normal"/>
    <w:link w:val="FooterChar"/>
    <w:uiPriority w:val="99"/>
    <w:unhideWhenUsed/>
    <w:rsid w:val="00DF6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585"/>
    <w:rPr>
      <w:rFonts w:ascii="Times New Roman" w:eastAsia="Times New Roman" w:hAnsi="Times New Roman" w:cs="Times New Roman"/>
      <w:color w:val="0E101A"/>
      <w:sz w:val="24"/>
    </w:rPr>
  </w:style>
  <w:style w:type="character" w:customStyle="1" w:styleId="apple-converted-space">
    <w:name w:val="apple-converted-space"/>
    <w:basedOn w:val="DefaultParagraphFont"/>
    <w:rsid w:val="00F5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4283">
      <w:bodyDiv w:val="1"/>
      <w:marLeft w:val="0"/>
      <w:marRight w:val="0"/>
      <w:marTop w:val="0"/>
      <w:marBottom w:val="0"/>
      <w:divBdr>
        <w:top w:val="none" w:sz="0" w:space="0" w:color="auto"/>
        <w:left w:val="none" w:sz="0" w:space="0" w:color="auto"/>
        <w:bottom w:val="none" w:sz="0" w:space="0" w:color="auto"/>
        <w:right w:val="none" w:sz="0" w:space="0" w:color="auto"/>
      </w:divBdr>
    </w:div>
    <w:div w:id="143619470">
      <w:bodyDiv w:val="1"/>
      <w:marLeft w:val="0"/>
      <w:marRight w:val="0"/>
      <w:marTop w:val="0"/>
      <w:marBottom w:val="0"/>
      <w:divBdr>
        <w:top w:val="none" w:sz="0" w:space="0" w:color="auto"/>
        <w:left w:val="none" w:sz="0" w:space="0" w:color="auto"/>
        <w:bottom w:val="none" w:sz="0" w:space="0" w:color="auto"/>
        <w:right w:val="none" w:sz="0" w:space="0" w:color="auto"/>
      </w:divBdr>
    </w:div>
    <w:div w:id="1527211615">
      <w:bodyDiv w:val="1"/>
      <w:marLeft w:val="0"/>
      <w:marRight w:val="0"/>
      <w:marTop w:val="0"/>
      <w:marBottom w:val="0"/>
      <w:divBdr>
        <w:top w:val="none" w:sz="0" w:space="0" w:color="auto"/>
        <w:left w:val="none" w:sz="0" w:space="0" w:color="auto"/>
        <w:bottom w:val="none" w:sz="0" w:space="0" w:color="auto"/>
        <w:right w:val="none" w:sz="0" w:space="0" w:color="auto"/>
      </w:divBdr>
    </w:div>
    <w:div w:id="1606887656">
      <w:bodyDiv w:val="1"/>
      <w:marLeft w:val="0"/>
      <w:marRight w:val="0"/>
      <w:marTop w:val="0"/>
      <w:marBottom w:val="0"/>
      <w:divBdr>
        <w:top w:val="none" w:sz="0" w:space="0" w:color="auto"/>
        <w:left w:val="none" w:sz="0" w:space="0" w:color="auto"/>
        <w:bottom w:val="none" w:sz="0" w:space="0" w:color="auto"/>
        <w:right w:val="none" w:sz="0" w:space="0" w:color="auto"/>
      </w:divBdr>
    </w:div>
    <w:div w:id="1766992543">
      <w:bodyDiv w:val="1"/>
      <w:marLeft w:val="0"/>
      <w:marRight w:val="0"/>
      <w:marTop w:val="0"/>
      <w:marBottom w:val="0"/>
      <w:divBdr>
        <w:top w:val="none" w:sz="0" w:space="0" w:color="auto"/>
        <w:left w:val="none" w:sz="0" w:space="0" w:color="auto"/>
        <w:bottom w:val="none" w:sz="0" w:space="0" w:color="auto"/>
        <w:right w:val="none" w:sz="0" w:space="0" w:color="auto"/>
      </w:divBdr>
    </w:div>
    <w:div w:id="1906335553">
      <w:bodyDiv w:val="1"/>
      <w:marLeft w:val="0"/>
      <w:marRight w:val="0"/>
      <w:marTop w:val="0"/>
      <w:marBottom w:val="0"/>
      <w:divBdr>
        <w:top w:val="none" w:sz="0" w:space="0" w:color="auto"/>
        <w:left w:val="none" w:sz="0" w:space="0" w:color="auto"/>
        <w:bottom w:val="none" w:sz="0" w:space="0" w:color="auto"/>
        <w:right w:val="none" w:sz="0" w:space="0" w:color="auto"/>
      </w:divBdr>
    </w:div>
    <w:div w:id="2001038560">
      <w:bodyDiv w:val="1"/>
      <w:marLeft w:val="0"/>
      <w:marRight w:val="0"/>
      <w:marTop w:val="0"/>
      <w:marBottom w:val="0"/>
      <w:divBdr>
        <w:top w:val="none" w:sz="0" w:space="0" w:color="auto"/>
        <w:left w:val="none" w:sz="0" w:space="0" w:color="auto"/>
        <w:bottom w:val="none" w:sz="0" w:space="0" w:color="auto"/>
        <w:right w:val="none" w:sz="0" w:space="0" w:color="auto"/>
      </w:divBdr>
    </w:div>
    <w:div w:id="212758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19</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Technological Change on Older Workers</vt:lpstr>
    </vt:vector>
  </TitlesOfParts>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Technological Change on Older Workers</dc:title>
  <dc:subject/>
  <dc:creator>grete</dc:creator>
  <cp:keywords/>
  <cp:lastModifiedBy>Microsoft Office User</cp:lastModifiedBy>
  <cp:revision>41</cp:revision>
  <dcterms:created xsi:type="dcterms:W3CDTF">2021-07-19T15:04:00Z</dcterms:created>
  <dcterms:modified xsi:type="dcterms:W3CDTF">2021-07-27T17:38:00Z</dcterms:modified>
</cp:coreProperties>
</file>