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BA3CD" w14:textId="77777777" w:rsidR="00E13AC2" w:rsidRDefault="00E13AC2" w:rsidP="00E13AC2">
      <w:pPr>
        <w:pStyle w:val="Heading1"/>
        <w:spacing w:line="480" w:lineRule="auto"/>
        <w:rPr>
          <w:rFonts w:ascii="Times New Roman" w:hAnsi="Times New Roman" w:cs="Times New Roman"/>
          <w:b/>
          <w:bCs/>
          <w:color w:val="000000" w:themeColor="text1"/>
          <w:sz w:val="26"/>
          <w:szCs w:val="26"/>
          <w:lang w:val="en-US"/>
        </w:rPr>
      </w:pPr>
    </w:p>
    <w:p w14:paraId="1251F7A4" w14:textId="77777777" w:rsidR="00E13AC2" w:rsidRDefault="00E13AC2" w:rsidP="00E13AC2">
      <w:pPr>
        <w:rPr>
          <w:lang w:val="en-US"/>
        </w:rPr>
      </w:pPr>
    </w:p>
    <w:p w14:paraId="31046BCD" w14:textId="77777777" w:rsidR="00E13AC2" w:rsidRDefault="00E13AC2" w:rsidP="00E13AC2">
      <w:pPr>
        <w:rPr>
          <w:lang w:val="en-US"/>
        </w:rPr>
      </w:pPr>
    </w:p>
    <w:p w14:paraId="01CB8CE2" w14:textId="77777777" w:rsidR="00E13AC2" w:rsidRDefault="00E13AC2" w:rsidP="00E13AC2">
      <w:pPr>
        <w:rPr>
          <w:lang w:val="en-US"/>
        </w:rPr>
      </w:pPr>
    </w:p>
    <w:p w14:paraId="06A6E51E" w14:textId="77777777" w:rsidR="00E13AC2" w:rsidRDefault="00E13AC2" w:rsidP="00E13AC2">
      <w:pPr>
        <w:rPr>
          <w:lang w:val="en-US"/>
        </w:rPr>
      </w:pPr>
    </w:p>
    <w:p w14:paraId="498DA3C9" w14:textId="77777777" w:rsidR="00E13AC2" w:rsidRDefault="00E13AC2" w:rsidP="00E13AC2">
      <w:pPr>
        <w:rPr>
          <w:lang w:val="en-US"/>
        </w:rPr>
      </w:pPr>
    </w:p>
    <w:p w14:paraId="4C44F8A4" w14:textId="25BF7BAB" w:rsidR="00E13AC2" w:rsidRDefault="00E13AC2" w:rsidP="00E13AC2">
      <w:pPr>
        <w:jc w:val="center"/>
        <w:rPr>
          <w:lang w:val="en-US"/>
        </w:rPr>
      </w:pPr>
      <w:r>
        <w:rPr>
          <w:lang w:val="en-US"/>
        </w:rPr>
        <w:t>Name</w:t>
      </w:r>
    </w:p>
    <w:p w14:paraId="72E3C713" w14:textId="508E29E5" w:rsidR="00E13AC2" w:rsidRDefault="00E13AC2" w:rsidP="00E13AC2">
      <w:pPr>
        <w:jc w:val="center"/>
        <w:rPr>
          <w:lang w:val="en-US"/>
        </w:rPr>
      </w:pPr>
      <w:r>
        <w:rPr>
          <w:lang w:val="en-US"/>
        </w:rPr>
        <w:t>Institute</w:t>
      </w:r>
    </w:p>
    <w:p w14:paraId="495B7336" w14:textId="545FC2F2" w:rsidR="00E13AC2" w:rsidRDefault="00E13AC2">
      <w:pPr>
        <w:rPr>
          <w:lang w:val="en-US"/>
        </w:rPr>
      </w:pPr>
      <w:r>
        <w:rPr>
          <w:lang w:val="en-US"/>
        </w:rPr>
        <w:br w:type="page"/>
      </w:r>
    </w:p>
    <w:sdt>
      <w:sdtPr>
        <w:rPr>
          <w:rFonts w:ascii="Times New Roman" w:hAnsi="Times New Roman" w:cs="Times New Roman"/>
          <w:b/>
          <w:bCs/>
          <w:color w:val="000000" w:themeColor="text1"/>
          <w:sz w:val="26"/>
          <w:szCs w:val="26"/>
        </w:rPr>
        <w:id w:val="-1426183437"/>
        <w:docPartObj>
          <w:docPartGallery w:val="Table of Contents"/>
          <w:docPartUnique/>
        </w:docPartObj>
      </w:sdtPr>
      <w:sdtEndPr>
        <w:rPr>
          <w:rFonts w:asciiTheme="minorHAnsi" w:eastAsiaTheme="minorHAnsi" w:hAnsiTheme="minorHAnsi" w:cstheme="minorBidi"/>
          <w:noProof/>
          <w:color w:val="auto"/>
          <w:kern w:val="2"/>
          <w:sz w:val="22"/>
          <w:szCs w:val="22"/>
          <w:lang w:val="en-PK"/>
        </w:rPr>
      </w:sdtEndPr>
      <w:sdtContent>
        <w:p w14:paraId="69F64662" w14:textId="4CA0F262" w:rsidR="00E13AC2" w:rsidRPr="00E13AC2" w:rsidRDefault="00E13AC2" w:rsidP="000F5E40">
          <w:pPr>
            <w:pStyle w:val="TOCHeading"/>
            <w:spacing w:line="480" w:lineRule="auto"/>
            <w:jc w:val="center"/>
            <w:rPr>
              <w:rFonts w:ascii="Times New Roman" w:hAnsi="Times New Roman" w:cs="Times New Roman"/>
              <w:b/>
              <w:bCs/>
              <w:color w:val="000000" w:themeColor="text1"/>
              <w:sz w:val="26"/>
              <w:szCs w:val="26"/>
            </w:rPr>
          </w:pPr>
          <w:r w:rsidRPr="00E13AC2">
            <w:rPr>
              <w:rFonts w:ascii="Times New Roman" w:hAnsi="Times New Roman" w:cs="Times New Roman"/>
              <w:b/>
              <w:bCs/>
              <w:color w:val="000000" w:themeColor="text1"/>
              <w:sz w:val="26"/>
              <w:szCs w:val="26"/>
            </w:rPr>
            <w:t>Table of Contents</w:t>
          </w:r>
        </w:p>
        <w:p w14:paraId="698C1546" w14:textId="55EE9275" w:rsidR="00E13AC2" w:rsidRDefault="00E13AC2">
          <w:pPr>
            <w:pStyle w:val="TOC1"/>
            <w:tabs>
              <w:tab w:val="left" w:pos="440"/>
              <w:tab w:val="right" w:leader="dot" w:pos="9016"/>
            </w:tabs>
            <w:rPr>
              <w:noProof/>
            </w:rPr>
          </w:pPr>
          <w:r>
            <w:fldChar w:fldCharType="begin"/>
          </w:r>
          <w:r>
            <w:instrText xml:space="preserve"> TOC \o "1-3" \h \z \u </w:instrText>
          </w:r>
          <w:r>
            <w:fldChar w:fldCharType="separate"/>
          </w:r>
          <w:hyperlink w:anchor="_Toc136641720" w:history="1">
            <w:r w:rsidRPr="00E07EDE">
              <w:rPr>
                <w:rStyle w:val="Hyperlink"/>
                <w:rFonts w:ascii="Times New Roman" w:hAnsi="Times New Roman" w:cs="Times New Roman"/>
                <w:b/>
                <w:bCs/>
                <w:noProof/>
                <w:lang w:val="en-US"/>
              </w:rPr>
              <w:t>1.</w:t>
            </w:r>
            <w:r>
              <w:rPr>
                <w:noProof/>
              </w:rPr>
              <w:tab/>
            </w:r>
            <w:r w:rsidRPr="00E07EDE">
              <w:rPr>
                <w:rStyle w:val="Hyperlink"/>
                <w:rFonts w:ascii="Times New Roman" w:hAnsi="Times New Roman" w:cs="Times New Roman"/>
                <w:b/>
                <w:bCs/>
                <w:noProof/>
                <w:lang w:val="en-US"/>
              </w:rPr>
              <w:t>Gregg learning video (2020) – Critical analysis</w:t>
            </w:r>
            <w:r>
              <w:rPr>
                <w:noProof/>
                <w:webHidden/>
              </w:rPr>
              <w:tab/>
            </w:r>
            <w:r>
              <w:rPr>
                <w:noProof/>
                <w:webHidden/>
              </w:rPr>
              <w:fldChar w:fldCharType="begin"/>
            </w:r>
            <w:r>
              <w:rPr>
                <w:noProof/>
                <w:webHidden/>
              </w:rPr>
              <w:instrText xml:space="preserve"> PAGEREF _Toc136641720 \h </w:instrText>
            </w:r>
            <w:r>
              <w:rPr>
                <w:noProof/>
                <w:webHidden/>
              </w:rPr>
            </w:r>
            <w:r>
              <w:rPr>
                <w:noProof/>
                <w:webHidden/>
              </w:rPr>
              <w:fldChar w:fldCharType="separate"/>
            </w:r>
            <w:r>
              <w:rPr>
                <w:noProof/>
                <w:webHidden/>
              </w:rPr>
              <w:t>2</w:t>
            </w:r>
            <w:r>
              <w:rPr>
                <w:noProof/>
                <w:webHidden/>
              </w:rPr>
              <w:fldChar w:fldCharType="end"/>
            </w:r>
          </w:hyperlink>
        </w:p>
        <w:p w14:paraId="3E190BD4" w14:textId="4D7FEAE4" w:rsidR="00E13AC2" w:rsidRDefault="00E13AC2">
          <w:pPr>
            <w:pStyle w:val="TOC1"/>
            <w:tabs>
              <w:tab w:val="left" w:pos="440"/>
              <w:tab w:val="right" w:leader="dot" w:pos="9016"/>
            </w:tabs>
            <w:rPr>
              <w:noProof/>
            </w:rPr>
          </w:pPr>
          <w:hyperlink w:anchor="_Toc136641721" w:history="1">
            <w:r w:rsidRPr="00E07EDE">
              <w:rPr>
                <w:rStyle w:val="Hyperlink"/>
                <w:rFonts w:ascii="Times New Roman" w:hAnsi="Times New Roman" w:cs="Times New Roman"/>
                <w:b/>
                <w:bCs/>
                <w:noProof/>
                <w:lang w:val="en-US"/>
              </w:rPr>
              <w:t>2.</w:t>
            </w:r>
            <w:r>
              <w:rPr>
                <w:noProof/>
              </w:rPr>
              <w:tab/>
            </w:r>
            <w:r w:rsidRPr="00E07EDE">
              <w:rPr>
                <w:rStyle w:val="Hyperlink"/>
                <w:rFonts w:ascii="Times New Roman" w:hAnsi="Times New Roman" w:cs="Times New Roman"/>
                <w:b/>
                <w:bCs/>
                <w:noProof/>
                <w:lang w:val="en-US"/>
              </w:rPr>
              <w:t>Chapter 1 Kerr (2019) – Critical analysis</w:t>
            </w:r>
            <w:r>
              <w:rPr>
                <w:noProof/>
                <w:webHidden/>
              </w:rPr>
              <w:tab/>
            </w:r>
            <w:r>
              <w:rPr>
                <w:noProof/>
                <w:webHidden/>
              </w:rPr>
              <w:fldChar w:fldCharType="begin"/>
            </w:r>
            <w:r>
              <w:rPr>
                <w:noProof/>
                <w:webHidden/>
              </w:rPr>
              <w:instrText xml:space="preserve"> PAGEREF _Toc136641721 \h </w:instrText>
            </w:r>
            <w:r>
              <w:rPr>
                <w:noProof/>
                <w:webHidden/>
              </w:rPr>
            </w:r>
            <w:r>
              <w:rPr>
                <w:noProof/>
                <w:webHidden/>
              </w:rPr>
              <w:fldChar w:fldCharType="separate"/>
            </w:r>
            <w:r>
              <w:rPr>
                <w:noProof/>
                <w:webHidden/>
              </w:rPr>
              <w:t>3</w:t>
            </w:r>
            <w:r>
              <w:rPr>
                <w:noProof/>
                <w:webHidden/>
              </w:rPr>
              <w:fldChar w:fldCharType="end"/>
            </w:r>
          </w:hyperlink>
        </w:p>
        <w:p w14:paraId="61E795FC" w14:textId="08515FED" w:rsidR="00E13AC2" w:rsidRDefault="00E13AC2">
          <w:pPr>
            <w:pStyle w:val="TOC1"/>
            <w:tabs>
              <w:tab w:val="left" w:pos="440"/>
              <w:tab w:val="right" w:leader="dot" w:pos="9016"/>
            </w:tabs>
            <w:rPr>
              <w:noProof/>
            </w:rPr>
          </w:pPr>
          <w:hyperlink w:anchor="_Toc136641722" w:history="1">
            <w:r w:rsidRPr="00E07EDE">
              <w:rPr>
                <w:rStyle w:val="Hyperlink"/>
                <w:rFonts w:ascii="Helvetica" w:eastAsia="Times New Roman" w:hAnsi="Helvetica" w:cs="Times New Roman"/>
                <w:noProof/>
                <w:kern w:val="0"/>
                <w:lang w:eastAsia="en-PK"/>
                <w14:ligatures w14:val="none"/>
              </w:rPr>
              <w:t>3.</w:t>
            </w:r>
            <w:r>
              <w:rPr>
                <w:noProof/>
              </w:rPr>
              <w:tab/>
            </w:r>
            <w:r w:rsidRPr="00E07EDE">
              <w:rPr>
                <w:rStyle w:val="Hyperlink"/>
                <w:rFonts w:ascii="Times New Roman" w:hAnsi="Times New Roman" w:cs="Times New Roman"/>
                <w:b/>
                <w:bCs/>
                <w:noProof/>
                <w:lang w:val="en-US"/>
              </w:rPr>
              <w:t>Fee and Michailova (2019) – Critical analysis</w:t>
            </w:r>
            <w:r>
              <w:rPr>
                <w:noProof/>
                <w:webHidden/>
              </w:rPr>
              <w:tab/>
            </w:r>
            <w:r>
              <w:rPr>
                <w:noProof/>
                <w:webHidden/>
              </w:rPr>
              <w:fldChar w:fldCharType="begin"/>
            </w:r>
            <w:r>
              <w:rPr>
                <w:noProof/>
                <w:webHidden/>
              </w:rPr>
              <w:instrText xml:space="preserve"> PAGEREF _Toc136641722 \h </w:instrText>
            </w:r>
            <w:r>
              <w:rPr>
                <w:noProof/>
                <w:webHidden/>
              </w:rPr>
            </w:r>
            <w:r>
              <w:rPr>
                <w:noProof/>
                <w:webHidden/>
              </w:rPr>
              <w:fldChar w:fldCharType="separate"/>
            </w:r>
            <w:r>
              <w:rPr>
                <w:noProof/>
                <w:webHidden/>
              </w:rPr>
              <w:t>4</w:t>
            </w:r>
            <w:r>
              <w:rPr>
                <w:noProof/>
                <w:webHidden/>
              </w:rPr>
              <w:fldChar w:fldCharType="end"/>
            </w:r>
          </w:hyperlink>
        </w:p>
        <w:p w14:paraId="0C71D9D0" w14:textId="36256072" w:rsidR="00E13AC2" w:rsidRDefault="00E13AC2">
          <w:pPr>
            <w:pStyle w:val="TOC1"/>
            <w:tabs>
              <w:tab w:val="left" w:pos="440"/>
              <w:tab w:val="right" w:leader="dot" w:pos="9016"/>
            </w:tabs>
            <w:rPr>
              <w:noProof/>
            </w:rPr>
          </w:pPr>
          <w:hyperlink w:anchor="_Toc136641723" w:history="1">
            <w:r w:rsidRPr="00E07EDE">
              <w:rPr>
                <w:rStyle w:val="Hyperlink"/>
                <w:rFonts w:ascii="Times New Roman" w:hAnsi="Times New Roman" w:cs="Times New Roman"/>
                <w:b/>
                <w:bCs/>
                <w:noProof/>
                <w:lang w:val="en-US"/>
              </w:rPr>
              <w:t>4.</w:t>
            </w:r>
            <w:r>
              <w:rPr>
                <w:noProof/>
              </w:rPr>
              <w:tab/>
            </w:r>
            <w:r w:rsidRPr="00E07EDE">
              <w:rPr>
                <w:rStyle w:val="Hyperlink"/>
                <w:rFonts w:ascii="Times New Roman" w:hAnsi="Times New Roman" w:cs="Times New Roman"/>
                <w:b/>
                <w:bCs/>
                <w:noProof/>
                <w:lang w:val="en-US"/>
              </w:rPr>
              <w:t>Chen et al., (2016) – Critical analysis of Hurco</w:t>
            </w:r>
            <w:r>
              <w:rPr>
                <w:noProof/>
                <w:webHidden/>
              </w:rPr>
              <w:tab/>
            </w:r>
            <w:r>
              <w:rPr>
                <w:noProof/>
                <w:webHidden/>
              </w:rPr>
              <w:fldChar w:fldCharType="begin"/>
            </w:r>
            <w:r>
              <w:rPr>
                <w:noProof/>
                <w:webHidden/>
              </w:rPr>
              <w:instrText xml:space="preserve"> PAGEREF _Toc136641723 \h </w:instrText>
            </w:r>
            <w:r>
              <w:rPr>
                <w:noProof/>
                <w:webHidden/>
              </w:rPr>
            </w:r>
            <w:r>
              <w:rPr>
                <w:noProof/>
                <w:webHidden/>
              </w:rPr>
              <w:fldChar w:fldCharType="separate"/>
            </w:r>
            <w:r>
              <w:rPr>
                <w:noProof/>
                <w:webHidden/>
              </w:rPr>
              <w:t>4</w:t>
            </w:r>
            <w:r>
              <w:rPr>
                <w:noProof/>
                <w:webHidden/>
              </w:rPr>
              <w:fldChar w:fldCharType="end"/>
            </w:r>
          </w:hyperlink>
        </w:p>
        <w:p w14:paraId="06BDBE4F" w14:textId="7A1CFAA2" w:rsidR="00E13AC2" w:rsidRDefault="00E13AC2">
          <w:pPr>
            <w:pStyle w:val="TOC1"/>
            <w:tabs>
              <w:tab w:val="right" w:leader="dot" w:pos="9016"/>
            </w:tabs>
            <w:rPr>
              <w:noProof/>
            </w:rPr>
          </w:pPr>
          <w:hyperlink w:anchor="_Toc136641724" w:history="1">
            <w:r w:rsidRPr="00E07EDE">
              <w:rPr>
                <w:rStyle w:val="Hyperlink"/>
                <w:rFonts w:ascii="Times New Roman" w:hAnsi="Times New Roman" w:cs="Times New Roman"/>
                <w:b/>
                <w:bCs/>
                <w:noProof/>
              </w:rPr>
              <w:t>References</w:t>
            </w:r>
            <w:r>
              <w:rPr>
                <w:noProof/>
                <w:webHidden/>
              </w:rPr>
              <w:tab/>
            </w:r>
            <w:r>
              <w:rPr>
                <w:noProof/>
                <w:webHidden/>
              </w:rPr>
              <w:fldChar w:fldCharType="begin"/>
            </w:r>
            <w:r>
              <w:rPr>
                <w:noProof/>
                <w:webHidden/>
              </w:rPr>
              <w:instrText xml:space="preserve"> PAGEREF _Toc136641724 \h </w:instrText>
            </w:r>
            <w:r>
              <w:rPr>
                <w:noProof/>
                <w:webHidden/>
              </w:rPr>
            </w:r>
            <w:r>
              <w:rPr>
                <w:noProof/>
                <w:webHidden/>
              </w:rPr>
              <w:fldChar w:fldCharType="separate"/>
            </w:r>
            <w:r>
              <w:rPr>
                <w:noProof/>
                <w:webHidden/>
              </w:rPr>
              <w:t>6</w:t>
            </w:r>
            <w:r>
              <w:rPr>
                <w:noProof/>
                <w:webHidden/>
              </w:rPr>
              <w:fldChar w:fldCharType="end"/>
            </w:r>
          </w:hyperlink>
        </w:p>
        <w:p w14:paraId="27F717F6" w14:textId="44C820D9" w:rsidR="00E13AC2" w:rsidRDefault="00E13AC2">
          <w:r>
            <w:rPr>
              <w:b/>
              <w:bCs/>
              <w:noProof/>
            </w:rPr>
            <w:fldChar w:fldCharType="end"/>
          </w:r>
        </w:p>
      </w:sdtContent>
    </w:sdt>
    <w:p w14:paraId="78C6A011" w14:textId="77777777" w:rsidR="00E13AC2" w:rsidRPr="00E13AC2" w:rsidRDefault="00E13AC2" w:rsidP="00E13AC2">
      <w:pPr>
        <w:jc w:val="center"/>
        <w:rPr>
          <w:lang w:val="en-US"/>
        </w:rPr>
      </w:pPr>
    </w:p>
    <w:p w14:paraId="6FCC40D5" w14:textId="77777777" w:rsidR="000F5E40" w:rsidRDefault="000F5E40">
      <w:pPr>
        <w:rPr>
          <w:rFonts w:ascii="Times New Roman" w:eastAsiaTheme="majorEastAsia" w:hAnsi="Times New Roman" w:cs="Times New Roman"/>
          <w:b/>
          <w:bCs/>
          <w:color w:val="000000" w:themeColor="text1"/>
          <w:sz w:val="26"/>
          <w:szCs w:val="26"/>
          <w:lang w:val="en-US"/>
        </w:rPr>
      </w:pPr>
      <w:bookmarkStart w:id="0" w:name="_Toc136641720"/>
      <w:r>
        <w:rPr>
          <w:rFonts w:ascii="Times New Roman" w:hAnsi="Times New Roman" w:cs="Times New Roman"/>
          <w:b/>
          <w:bCs/>
          <w:color w:val="000000" w:themeColor="text1"/>
          <w:sz w:val="26"/>
          <w:szCs w:val="26"/>
          <w:lang w:val="en-US"/>
        </w:rPr>
        <w:br w:type="page"/>
      </w:r>
    </w:p>
    <w:p w14:paraId="2B5655D1" w14:textId="62FBC548" w:rsidR="00DF4E5A" w:rsidRDefault="00625979" w:rsidP="00DF4E5A">
      <w:pPr>
        <w:pStyle w:val="Heading1"/>
        <w:numPr>
          <w:ilvl w:val="0"/>
          <w:numId w:val="1"/>
        </w:numPr>
        <w:spacing w:line="480" w:lineRule="auto"/>
        <w:rPr>
          <w:rFonts w:ascii="Times New Roman" w:hAnsi="Times New Roman" w:cs="Times New Roman"/>
          <w:b/>
          <w:bCs/>
          <w:color w:val="000000" w:themeColor="text1"/>
          <w:sz w:val="26"/>
          <w:szCs w:val="26"/>
          <w:lang w:val="en-US"/>
        </w:rPr>
      </w:pPr>
      <w:r>
        <w:rPr>
          <w:rFonts w:ascii="Times New Roman" w:hAnsi="Times New Roman" w:cs="Times New Roman"/>
          <w:b/>
          <w:bCs/>
          <w:color w:val="000000" w:themeColor="text1"/>
          <w:sz w:val="26"/>
          <w:szCs w:val="26"/>
          <w:lang w:val="en-US"/>
        </w:rPr>
        <w:lastRenderedPageBreak/>
        <w:t>Gregg learning video (2020) – Critical analysis</w:t>
      </w:r>
      <w:bookmarkEnd w:id="0"/>
    </w:p>
    <w:p w14:paraId="6EFC2D78" w14:textId="719A0C2A" w:rsidR="003C5A4F" w:rsidRDefault="0004375B" w:rsidP="00426A6D">
      <w:pPr>
        <w:spacing w:line="360" w:lineRule="auto"/>
        <w:jc w:val="both"/>
        <w:rPr>
          <w:rFonts w:ascii="Times New Roman" w:hAnsi="Times New Roman" w:cs="Times New Roman"/>
          <w:sz w:val="24"/>
          <w:szCs w:val="24"/>
          <w:lang w:val="en-US"/>
        </w:rPr>
      </w:pPr>
      <w:r w:rsidRPr="00426A6D">
        <w:rPr>
          <w:rFonts w:ascii="Times New Roman" w:hAnsi="Times New Roman" w:cs="Times New Roman"/>
          <w:sz w:val="24"/>
          <w:szCs w:val="24"/>
          <w:lang w:val="en-US"/>
        </w:rPr>
        <w:t xml:space="preserve">This learning video was primarily based at highlighting the challenges as well as the opportunities attributed to expatriates who are exposed to working globally. </w:t>
      </w:r>
      <w:r w:rsidR="00426A6D" w:rsidRPr="00426A6D">
        <w:rPr>
          <w:rFonts w:ascii="Times New Roman" w:hAnsi="Times New Roman" w:cs="Times New Roman"/>
          <w:sz w:val="24"/>
          <w:szCs w:val="24"/>
          <w:lang w:val="en-US"/>
        </w:rPr>
        <w:t>The video has clearly emphasized the vitality and effectiveness of developing cultural intelligence highlighting it a need of the hour</w:t>
      </w:r>
      <w:r w:rsidR="00426A6D">
        <w:rPr>
          <w:rFonts w:ascii="Times New Roman" w:hAnsi="Times New Roman" w:cs="Times New Roman"/>
          <w:sz w:val="24"/>
          <w:szCs w:val="24"/>
          <w:lang w:val="en-US"/>
        </w:rPr>
        <w:t xml:space="preserve"> </w:t>
      </w:r>
      <w:r w:rsidR="00426A6D" w:rsidRPr="00426A6D">
        <w:rPr>
          <w:rFonts w:ascii="Times New Roman" w:hAnsi="Times New Roman" w:cs="Times New Roman"/>
          <w:sz w:val="24"/>
          <w:szCs w:val="24"/>
          <w:lang w:val="en-US"/>
        </w:rPr>
        <w:t>considering the</w:t>
      </w:r>
      <w:r w:rsidR="00426A6D">
        <w:rPr>
          <w:rFonts w:ascii="Times New Roman" w:hAnsi="Times New Roman" w:cs="Times New Roman"/>
          <w:sz w:val="24"/>
          <w:szCs w:val="24"/>
          <w:lang w:val="en-US"/>
        </w:rPr>
        <w:t xml:space="preserve"> amplified </w:t>
      </w:r>
      <w:r w:rsidR="00426A6D" w:rsidRPr="00426A6D">
        <w:rPr>
          <w:rFonts w:ascii="Times New Roman" w:hAnsi="Times New Roman" w:cs="Times New Roman"/>
          <w:sz w:val="24"/>
          <w:szCs w:val="24"/>
          <w:lang w:val="en-US"/>
        </w:rPr>
        <w:t xml:space="preserve"> trends towards globalization of the business world</w:t>
      </w:r>
      <w:r w:rsidR="00426A6D">
        <w:rPr>
          <w:rFonts w:ascii="Times New Roman" w:hAnsi="Times New Roman" w:cs="Times New Roman"/>
          <w:sz w:val="24"/>
          <w:szCs w:val="24"/>
          <w:lang w:val="en-US"/>
        </w:rPr>
        <w:t>.</w:t>
      </w:r>
      <w:r w:rsidR="00C64BCC">
        <w:rPr>
          <w:rFonts w:ascii="Times New Roman" w:hAnsi="Times New Roman" w:cs="Times New Roman"/>
          <w:sz w:val="24"/>
          <w:szCs w:val="24"/>
          <w:lang w:val="en-US"/>
        </w:rPr>
        <w:t xml:space="preserve"> </w:t>
      </w:r>
      <w:r w:rsidR="00377918">
        <w:rPr>
          <w:rFonts w:ascii="Times New Roman" w:hAnsi="Times New Roman" w:cs="Times New Roman"/>
          <w:sz w:val="24"/>
          <w:szCs w:val="24"/>
          <w:lang w:val="en-US"/>
        </w:rPr>
        <w:t>Taking into account the global connectivity and widened span of opportunities available for the workforce around the globe, organizations of all sorts are left with no choice but to exert their efforts in developing cross-cultural competencies. Another aspect that the video has give special attention to was realizing the value of relationship development and expanding the spectrum of social connectivity, encapsulating people from different cultural backgrounds, ethnic orientation and origins. However, the organizations are struggling to streamline the communication aspects in order to ensure effective dissemination of information across the globe</w:t>
      </w:r>
      <w:r w:rsidR="00882AF9">
        <w:rPr>
          <w:rFonts w:ascii="Times New Roman" w:hAnsi="Times New Roman" w:cs="Times New Roman"/>
          <w:sz w:val="24"/>
          <w:szCs w:val="24"/>
          <w:lang w:val="en-US"/>
        </w:rPr>
        <w:t xml:space="preserve"> while eradicating the related hinderances and communication barriers. </w:t>
      </w:r>
    </w:p>
    <w:p w14:paraId="27C62617" w14:textId="0E096822" w:rsidR="0007743B" w:rsidRDefault="0007743B" w:rsidP="00426A6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video has not explicitly mentioned the authority or professional capacity of the author. However, when analyzed from the perspective of the information shared in the video and real time examples from the business world, it is quite clear that the author has an association with cross-cultural communication and training niche. </w:t>
      </w:r>
    </w:p>
    <w:p w14:paraId="6683E17C" w14:textId="708E6E89" w:rsidR="004347FA" w:rsidRDefault="004347FA" w:rsidP="00426A6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video was quite interesting and engaged me till the end through unleashing several surprising aspects. For instance, I am well aware of the concept of inter-cultural competence and its vitality for the global working environment; however, the video grappled different aspects of the cultural affiliations relating it with communication while determining its influences on behavior notions of the employees. Likewise, the seamless interconnectivity of culture with social norms, beliefs systems and values </w:t>
      </w:r>
      <w:r w:rsidR="00DA6479">
        <w:rPr>
          <w:rFonts w:ascii="Times New Roman" w:hAnsi="Times New Roman" w:cs="Times New Roman"/>
          <w:sz w:val="24"/>
          <w:szCs w:val="24"/>
          <w:lang w:val="en-US"/>
        </w:rPr>
        <w:t>were</w:t>
      </w:r>
      <w:r>
        <w:rPr>
          <w:rFonts w:ascii="Times New Roman" w:hAnsi="Times New Roman" w:cs="Times New Roman"/>
          <w:sz w:val="24"/>
          <w:szCs w:val="24"/>
          <w:lang w:val="en-US"/>
        </w:rPr>
        <w:t xml:space="preserve"> a learning-oriented yet surprising element for me in the video. </w:t>
      </w:r>
    </w:p>
    <w:p w14:paraId="1C632A3F" w14:textId="4D08E79A" w:rsidR="00DF3C93" w:rsidRDefault="00DF3C93" w:rsidP="00426A6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my perspective, content of the video can further be improved by adding specific guidance for the novice or beginner level audience about the techniques and approaches of developing cross-cultural connections. Likewise, it may include a detailed guideline of the platforms that students and </w:t>
      </w:r>
      <w:proofErr w:type="gramStart"/>
      <w:r>
        <w:rPr>
          <w:rFonts w:ascii="Times New Roman" w:hAnsi="Times New Roman" w:cs="Times New Roman"/>
          <w:sz w:val="24"/>
          <w:szCs w:val="24"/>
          <w:lang w:val="en-US"/>
        </w:rPr>
        <w:t>professional</w:t>
      </w:r>
      <w:proofErr w:type="gramEnd"/>
      <w:r>
        <w:rPr>
          <w:rFonts w:ascii="Times New Roman" w:hAnsi="Times New Roman" w:cs="Times New Roman"/>
          <w:sz w:val="24"/>
          <w:szCs w:val="24"/>
          <w:lang w:val="en-US"/>
        </w:rPr>
        <w:t xml:space="preserve"> may use to increase their social reach and hence communicate with the people with diverse cultural backgrounds. I think that the video was more inclined towards discussing the theoretical aspects of cultural intelligence followed by giving examples of the companies; therefore, the content may be enriched by adopting a practical </w:t>
      </w:r>
      <w:r>
        <w:rPr>
          <w:rFonts w:ascii="Times New Roman" w:hAnsi="Times New Roman" w:cs="Times New Roman"/>
          <w:sz w:val="24"/>
          <w:szCs w:val="24"/>
          <w:lang w:val="en-US"/>
        </w:rPr>
        <w:lastRenderedPageBreak/>
        <w:t xml:space="preserve">approach guiding the audience about the applicability techniques and challenges related to developing cultural intelligence in the workplace. </w:t>
      </w:r>
    </w:p>
    <w:p w14:paraId="19CFFC1F" w14:textId="1B84CB81" w:rsidR="00A45576" w:rsidRPr="00A45576" w:rsidRDefault="00A45576" w:rsidP="00A45576">
      <w:pPr>
        <w:pStyle w:val="Heading1"/>
        <w:numPr>
          <w:ilvl w:val="0"/>
          <w:numId w:val="1"/>
        </w:numPr>
        <w:spacing w:line="480" w:lineRule="auto"/>
        <w:rPr>
          <w:rFonts w:ascii="Times New Roman" w:hAnsi="Times New Roman" w:cs="Times New Roman"/>
          <w:b/>
          <w:bCs/>
          <w:color w:val="000000" w:themeColor="text1"/>
          <w:sz w:val="26"/>
          <w:szCs w:val="26"/>
          <w:lang w:val="en-US"/>
        </w:rPr>
      </w:pPr>
      <w:bookmarkStart w:id="1" w:name="_Toc136641721"/>
      <w:r w:rsidRPr="00A45576">
        <w:rPr>
          <w:rFonts w:ascii="Times New Roman" w:hAnsi="Times New Roman" w:cs="Times New Roman"/>
          <w:b/>
          <w:bCs/>
          <w:color w:val="000000" w:themeColor="text1"/>
          <w:sz w:val="26"/>
          <w:szCs w:val="26"/>
          <w:lang w:val="en-US"/>
        </w:rPr>
        <w:t>Chapter 1 Kerr (2019) – Critical analysis</w:t>
      </w:r>
      <w:bookmarkEnd w:id="1"/>
    </w:p>
    <w:p w14:paraId="1C2B3EC6" w14:textId="39DB9FE5" w:rsidR="003C5A4F" w:rsidRDefault="001573AF" w:rsidP="001573AF">
      <w:pPr>
        <w:shd w:val="clear" w:color="auto" w:fill="FFFFFF"/>
        <w:spacing w:after="0" w:line="360" w:lineRule="auto"/>
        <w:jc w:val="both"/>
        <w:rPr>
          <w:rFonts w:ascii="Times New Roman" w:eastAsia="Times New Roman" w:hAnsi="Times New Roman" w:cs="Times New Roman"/>
          <w:color w:val="16192B"/>
          <w:kern w:val="0"/>
          <w:sz w:val="24"/>
          <w:szCs w:val="24"/>
          <w:lang w:val="en-US" w:eastAsia="en-PK"/>
          <w14:ligatures w14:val="none"/>
        </w:rPr>
      </w:pPr>
      <w:r w:rsidRPr="001573AF">
        <w:rPr>
          <w:rFonts w:ascii="Times New Roman" w:eastAsia="Times New Roman" w:hAnsi="Times New Roman" w:cs="Times New Roman"/>
          <w:color w:val="16192B"/>
          <w:kern w:val="0"/>
          <w:sz w:val="24"/>
          <w:szCs w:val="24"/>
          <w:lang w:val="en-US" w:eastAsia="en-PK"/>
          <w14:ligatures w14:val="none"/>
        </w:rPr>
        <w:t xml:space="preserve">This first chapter of the book formed the basis of the entire book with a detailed focus on highlighting the currently prevalent transition of business industry towards dynamism where digital technologies overpowered all the functions, processes and business activities. </w:t>
      </w:r>
      <w:r>
        <w:rPr>
          <w:rFonts w:ascii="Times New Roman" w:eastAsia="Times New Roman" w:hAnsi="Times New Roman" w:cs="Times New Roman"/>
          <w:color w:val="16192B"/>
          <w:kern w:val="0"/>
          <w:sz w:val="24"/>
          <w:szCs w:val="24"/>
          <w:lang w:val="en-US" w:eastAsia="en-PK"/>
          <w14:ligatures w14:val="none"/>
        </w:rPr>
        <w:t xml:space="preserve">The author clarified that the global connectedness has altered the organizational practices to a great extent leaving no choice for the businesses but to adapt to the continuously evolving chain of globalized economy. Keeping in view the changing trends, the author identified agile approach and flexible work mechanisms as the two key constructs for the businesses to retain competitiveness in the market. </w:t>
      </w:r>
      <w:r w:rsidR="007E1828">
        <w:rPr>
          <w:rFonts w:ascii="Times New Roman" w:eastAsia="Times New Roman" w:hAnsi="Times New Roman" w:cs="Times New Roman"/>
          <w:color w:val="16192B"/>
          <w:kern w:val="0"/>
          <w:sz w:val="24"/>
          <w:szCs w:val="24"/>
          <w:lang w:val="en-US" w:eastAsia="en-PK"/>
          <w14:ligatures w14:val="none"/>
        </w:rPr>
        <w:t xml:space="preserve">Likewise, cultural diversity, embracing the differences and ensuring the inclusion of employees in the organization were identified as modern era practices that have improvised the entire operational structure of businesses. In addition, the author exerted an equal focus on digitization and technological inculcation stating that the modern automated tools and techniques to carry out business activities are not only cost efficient but also drive quality. </w:t>
      </w:r>
    </w:p>
    <w:p w14:paraId="43765396" w14:textId="5E8D234E" w:rsidR="00987293" w:rsidRDefault="00987293" w:rsidP="001573AF">
      <w:pPr>
        <w:shd w:val="clear" w:color="auto" w:fill="FFFFFF"/>
        <w:spacing w:after="0" w:line="360" w:lineRule="auto"/>
        <w:jc w:val="both"/>
        <w:rPr>
          <w:rFonts w:ascii="Times New Roman" w:eastAsia="Times New Roman" w:hAnsi="Times New Roman" w:cs="Times New Roman"/>
          <w:color w:val="16192B"/>
          <w:kern w:val="0"/>
          <w:sz w:val="24"/>
          <w:szCs w:val="24"/>
          <w:lang w:val="en-US" w:eastAsia="en-PK"/>
          <w14:ligatures w14:val="none"/>
        </w:rPr>
      </w:pPr>
      <w:r>
        <w:rPr>
          <w:rFonts w:ascii="Times New Roman" w:eastAsia="Times New Roman" w:hAnsi="Times New Roman" w:cs="Times New Roman"/>
          <w:color w:val="16192B"/>
          <w:kern w:val="0"/>
          <w:sz w:val="24"/>
          <w:szCs w:val="24"/>
          <w:lang w:val="en-US" w:eastAsia="en-PK"/>
          <w14:ligatures w14:val="none"/>
        </w:rPr>
        <w:t>The author of this chapter withholds academic qualification in the domain of business management followed by extensive experience of research and development in the area of globalized business management, general management and operational efficacy. The author has ensured the inclusion of numerous case studies and practical examples in the chapter supporting the theoretical aspects highlighted in the sub-sections</w:t>
      </w:r>
      <w:r w:rsidR="007A3CF8">
        <w:rPr>
          <w:rFonts w:ascii="Times New Roman" w:eastAsia="Times New Roman" w:hAnsi="Times New Roman" w:cs="Times New Roman"/>
          <w:color w:val="16192B"/>
          <w:kern w:val="0"/>
          <w:sz w:val="24"/>
          <w:szCs w:val="24"/>
          <w:lang w:val="en-US" w:eastAsia="en-PK"/>
          <w14:ligatures w14:val="none"/>
        </w:rPr>
        <w:t xml:space="preserve"> that have certainly improvised the reader’s level of understanding</w:t>
      </w:r>
      <w:r>
        <w:rPr>
          <w:rFonts w:ascii="Times New Roman" w:eastAsia="Times New Roman" w:hAnsi="Times New Roman" w:cs="Times New Roman"/>
          <w:color w:val="16192B"/>
          <w:kern w:val="0"/>
          <w:sz w:val="24"/>
          <w:szCs w:val="24"/>
          <w:lang w:val="en-US" w:eastAsia="en-PK"/>
          <w14:ligatures w14:val="none"/>
        </w:rPr>
        <w:t xml:space="preserve">. </w:t>
      </w:r>
    </w:p>
    <w:p w14:paraId="4F782D03" w14:textId="2AA07478" w:rsidR="00FD54BD" w:rsidRDefault="00FD54BD" w:rsidP="001573AF">
      <w:pPr>
        <w:shd w:val="clear" w:color="auto" w:fill="FFFFFF"/>
        <w:spacing w:after="0" w:line="360" w:lineRule="auto"/>
        <w:jc w:val="both"/>
        <w:rPr>
          <w:rFonts w:ascii="Times New Roman" w:eastAsia="Times New Roman" w:hAnsi="Times New Roman" w:cs="Times New Roman"/>
          <w:color w:val="16192B"/>
          <w:kern w:val="0"/>
          <w:sz w:val="24"/>
          <w:szCs w:val="24"/>
          <w:lang w:val="en-US" w:eastAsia="en-PK"/>
          <w14:ligatures w14:val="none"/>
        </w:rPr>
      </w:pPr>
      <w:r>
        <w:rPr>
          <w:rFonts w:ascii="Times New Roman" w:eastAsia="Times New Roman" w:hAnsi="Times New Roman" w:cs="Times New Roman"/>
          <w:color w:val="16192B"/>
          <w:kern w:val="0"/>
          <w:sz w:val="24"/>
          <w:szCs w:val="24"/>
          <w:lang w:val="en-US" w:eastAsia="en-PK"/>
          <w14:ligatures w14:val="none"/>
        </w:rPr>
        <w:t xml:space="preserve">The surprising element in the chapter was sheer emphasis on the change management as a part of globalized team management. Likewise, the author equally focused on the need for the organizations to be adaptable and flexible followed by including compelling cases of business ventures who had undergone the changing notions of globalized economy and succeeded after embracing the change. </w:t>
      </w:r>
    </w:p>
    <w:p w14:paraId="40DCBE8B" w14:textId="21E04706" w:rsidR="00A974AA" w:rsidRPr="001573AF" w:rsidRDefault="00A974AA" w:rsidP="001573AF">
      <w:pPr>
        <w:shd w:val="clear" w:color="auto" w:fill="FFFFFF"/>
        <w:spacing w:after="0" w:line="360" w:lineRule="auto"/>
        <w:jc w:val="both"/>
        <w:rPr>
          <w:rFonts w:ascii="Times New Roman" w:eastAsia="Times New Roman" w:hAnsi="Times New Roman" w:cs="Times New Roman"/>
          <w:color w:val="16192B"/>
          <w:kern w:val="0"/>
          <w:sz w:val="24"/>
          <w:szCs w:val="24"/>
          <w:lang w:val="en-US" w:eastAsia="en-PK"/>
          <w14:ligatures w14:val="none"/>
        </w:rPr>
      </w:pPr>
      <w:r>
        <w:rPr>
          <w:rFonts w:ascii="Times New Roman" w:eastAsia="Times New Roman" w:hAnsi="Times New Roman" w:cs="Times New Roman"/>
          <w:color w:val="16192B"/>
          <w:kern w:val="0"/>
          <w:sz w:val="24"/>
          <w:szCs w:val="24"/>
          <w:lang w:val="en-US" w:eastAsia="en-PK"/>
          <w14:ligatures w14:val="none"/>
        </w:rPr>
        <w:t xml:space="preserve">Despite all that, I think, the chapter could slowly transition its focus towards elaborating the opportunities that globalization opens for the expatriates along with highlighting the challenges that managers have to encounter within the context of virtual team management and the techniques of creating a collaborative virtual environment. </w:t>
      </w:r>
    </w:p>
    <w:p w14:paraId="2147BDFF" w14:textId="53981125" w:rsidR="003C5A4F" w:rsidRDefault="00981E16" w:rsidP="0088162F">
      <w:pPr>
        <w:pStyle w:val="Heading1"/>
        <w:numPr>
          <w:ilvl w:val="0"/>
          <w:numId w:val="1"/>
        </w:numPr>
        <w:spacing w:line="480" w:lineRule="auto"/>
        <w:rPr>
          <w:rFonts w:ascii="Helvetica" w:eastAsia="Times New Roman" w:hAnsi="Helvetica" w:cs="Times New Roman"/>
          <w:color w:val="16192B"/>
          <w:kern w:val="0"/>
          <w:sz w:val="23"/>
          <w:szCs w:val="23"/>
          <w:lang w:eastAsia="en-PK"/>
          <w14:ligatures w14:val="none"/>
        </w:rPr>
      </w:pPr>
      <w:bookmarkStart w:id="2" w:name="_Toc136641722"/>
      <w:r w:rsidRPr="00981E16">
        <w:rPr>
          <w:rFonts w:ascii="Times New Roman" w:hAnsi="Times New Roman" w:cs="Times New Roman"/>
          <w:b/>
          <w:bCs/>
          <w:color w:val="000000" w:themeColor="text1"/>
          <w:sz w:val="26"/>
          <w:szCs w:val="26"/>
          <w:lang w:val="en-US"/>
        </w:rPr>
        <w:lastRenderedPageBreak/>
        <w:t xml:space="preserve">Fee and </w:t>
      </w:r>
      <w:proofErr w:type="spellStart"/>
      <w:r w:rsidRPr="00981E16">
        <w:rPr>
          <w:rFonts w:ascii="Times New Roman" w:hAnsi="Times New Roman" w:cs="Times New Roman"/>
          <w:b/>
          <w:bCs/>
          <w:color w:val="000000" w:themeColor="text1"/>
          <w:sz w:val="26"/>
          <w:szCs w:val="26"/>
          <w:lang w:val="en-US"/>
        </w:rPr>
        <w:t>Michailova</w:t>
      </w:r>
      <w:proofErr w:type="spellEnd"/>
      <w:r w:rsidRPr="00981E16">
        <w:rPr>
          <w:rFonts w:ascii="Times New Roman" w:hAnsi="Times New Roman" w:cs="Times New Roman"/>
          <w:b/>
          <w:bCs/>
          <w:color w:val="000000" w:themeColor="text1"/>
          <w:sz w:val="26"/>
          <w:szCs w:val="26"/>
          <w:lang w:val="en-US"/>
        </w:rPr>
        <w:t xml:space="preserve"> (2019) – Critical analysis</w:t>
      </w:r>
      <w:bookmarkEnd w:id="2"/>
      <w:r w:rsidR="003C5A4F" w:rsidRPr="0088162F">
        <w:rPr>
          <w:rFonts w:ascii="Helvetica" w:eastAsia="Times New Roman" w:hAnsi="Helvetica" w:cs="Times New Roman"/>
          <w:color w:val="16192B"/>
          <w:kern w:val="0"/>
          <w:sz w:val="23"/>
          <w:szCs w:val="23"/>
          <w:lang w:eastAsia="en-PK"/>
          <w14:ligatures w14:val="none"/>
        </w:rPr>
        <w:t> </w:t>
      </w:r>
    </w:p>
    <w:p w14:paraId="311AFE63" w14:textId="4C6323DA" w:rsidR="000C57C0" w:rsidRDefault="0088162F" w:rsidP="0088162F">
      <w:pPr>
        <w:spacing w:line="360" w:lineRule="auto"/>
        <w:jc w:val="both"/>
        <w:rPr>
          <w:rFonts w:ascii="Times New Roman" w:hAnsi="Times New Roman" w:cs="Times New Roman"/>
          <w:sz w:val="24"/>
          <w:szCs w:val="24"/>
          <w:lang w:val="en-US" w:eastAsia="en-PK"/>
        </w:rPr>
      </w:pPr>
      <w:r w:rsidRPr="0088162F">
        <w:rPr>
          <w:rFonts w:ascii="Times New Roman" w:hAnsi="Times New Roman" w:cs="Times New Roman"/>
          <w:sz w:val="24"/>
          <w:szCs w:val="24"/>
          <w:lang w:val="en-US" w:eastAsia="en-PK"/>
        </w:rPr>
        <w:t>The article covered two basic themes which were an elaboration of preparation phase that organizations undergo in order to streamline the process of assigning tasks to expatriates as well as the different aspects of learning that are associated with the process. In simple words, the repatriation of the expatriates was the key focal point of the whole article. The authors identified repatriation as an equally challenging domain for both employees and the employers stating that careful planning, management and support is equally required at both sides in order to facilitate a hinderance free transition.</w:t>
      </w:r>
      <w:r>
        <w:rPr>
          <w:rFonts w:ascii="Times New Roman" w:hAnsi="Times New Roman" w:cs="Times New Roman"/>
          <w:sz w:val="24"/>
          <w:szCs w:val="24"/>
          <w:lang w:val="en-US" w:eastAsia="en-PK"/>
        </w:rPr>
        <w:t xml:space="preserve"> The authors further identified communication, proper mentorship and ample training opportunities as key pre-requisites to successful repatriation of the expatriates</w:t>
      </w:r>
      <w:r w:rsidR="000C57C0">
        <w:rPr>
          <w:rFonts w:ascii="Times New Roman" w:hAnsi="Times New Roman" w:cs="Times New Roman"/>
          <w:sz w:val="24"/>
          <w:szCs w:val="24"/>
          <w:lang w:val="en-US" w:eastAsia="en-PK"/>
        </w:rPr>
        <w:t xml:space="preserve">. </w:t>
      </w:r>
    </w:p>
    <w:p w14:paraId="05A0E453" w14:textId="44B4EFD0" w:rsidR="000C57C0" w:rsidRDefault="000C57C0" w:rsidP="0088162F">
      <w:pPr>
        <w:spacing w:line="360" w:lineRule="auto"/>
        <w:jc w:val="both"/>
        <w:rPr>
          <w:rFonts w:ascii="Times New Roman" w:hAnsi="Times New Roman" w:cs="Times New Roman"/>
          <w:sz w:val="24"/>
          <w:szCs w:val="24"/>
          <w:lang w:val="en-US" w:eastAsia="en-PK"/>
        </w:rPr>
      </w:pPr>
      <w:r>
        <w:rPr>
          <w:rFonts w:ascii="Times New Roman" w:hAnsi="Times New Roman" w:cs="Times New Roman"/>
          <w:sz w:val="24"/>
          <w:szCs w:val="24"/>
          <w:lang w:val="en-US" w:eastAsia="en-PK"/>
        </w:rPr>
        <w:t xml:space="preserve">The authors of this article have a diverse background in the domain of business research and development with a specialized focus on human resources management and development. The case studies and examples from the business world have extensively been used throughout the article as a justification to the points raised. </w:t>
      </w:r>
    </w:p>
    <w:p w14:paraId="018E5FB3" w14:textId="2B3FE0C4" w:rsidR="00695372" w:rsidRDefault="00695372" w:rsidP="0088162F">
      <w:pPr>
        <w:spacing w:line="360" w:lineRule="auto"/>
        <w:jc w:val="both"/>
        <w:rPr>
          <w:rFonts w:ascii="Times New Roman" w:hAnsi="Times New Roman" w:cs="Times New Roman"/>
          <w:sz w:val="24"/>
          <w:szCs w:val="24"/>
          <w:lang w:val="en-US" w:eastAsia="en-PK"/>
        </w:rPr>
      </w:pPr>
      <w:r>
        <w:rPr>
          <w:rFonts w:ascii="Times New Roman" w:hAnsi="Times New Roman" w:cs="Times New Roman"/>
          <w:sz w:val="24"/>
          <w:szCs w:val="24"/>
          <w:lang w:val="en-US" w:eastAsia="en-PK"/>
        </w:rPr>
        <w:t xml:space="preserve">Reading this article changed my perspective towards expatriates management. To my surprise, repatriation was a much more critical and challenging process for both employees and the employers. Previously, I had always considered it challenging for the employees only; however, the challenging dimensions that an organization undergoes to readjust their operational mechanism are wondersome. Likewise, adjustment of employees after their return to the home country is also a challenging and time-taking process. </w:t>
      </w:r>
    </w:p>
    <w:p w14:paraId="247958F7" w14:textId="492A210A" w:rsidR="003C5A4F" w:rsidRDefault="00695372" w:rsidP="00290F18">
      <w:pPr>
        <w:spacing w:line="360" w:lineRule="auto"/>
        <w:jc w:val="both"/>
        <w:rPr>
          <w:rFonts w:ascii="Helvetica" w:eastAsia="Times New Roman" w:hAnsi="Helvetica" w:cs="Times New Roman"/>
          <w:color w:val="16192B"/>
          <w:kern w:val="0"/>
          <w:sz w:val="23"/>
          <w:szCs w:val="23"/>
          <w:lang w:eastAsia="en-PK"/>
          <w14:ligatures w14:val="none"/>
        </w:rPr>
      </w:pPr>
      <w:r>
        <w:rPr>
          <w:rFonts w:ascii="Times New Roman" w:hAnsi="Times New Roman" w:cs="Times New Roman"/>
          <w:sz w:val="24"/>
          <w:szCs w:val="24"/>
          <w:lang w:val="en-US" w:eastAsia="en-PK"/>
        </w:rPr>
        <w:t xml:space="preserve">The article did not mention the role of society and family with a focus on how they struggle to become a support system for the repatriates. </w:t>
      </w:r>
      <w:r w:rsidR="00290F18">
        <w:rPr>
          <w:rFonts w:ascii="Times New Roman" w:hAnsi="Times New Roman" w:cs="Times New Roman"/>
          <w:sz w:val="24"/>
          <w:szCs w:val="24"/>
          <w:lang w:val="en-US" w:eastAsia="en-PK"/>
        </w:rPr>
        <w:t xml:space="preserve">The article has also added a gist of social pressures and familial support; however, this is an extensive topic that can be discussed in detail. </w:t>
      </w:r>
      <w:r w:rsidR="003C5A4F" w:rsidRPr="003C5A4F">
        <w:rPr>
          <w:rFonts w:ascii="Helvetica" w:eastAsia="Times New Roman" w:hAnsi="Helvetica" w:cs="Times New Roman"/>
          <w:color w:val="16192B"/>
          <w:kern w:val="0"/>
          <w:sz w:val="23"/>
          <w:szCs w:val="23"/>
          <w:lang w:eastAsia="en-PK"/>
          <w14:ligatures w14:val="none"/>
        </w:rPr>
        <w:t> </w:t>
      </w:r>
    </w:p>
    <w:p w14:paraId="3B1B0644" w14:textId="218DF2E7" w:rsidR="00344C4E" w:rsidRDefault="00344C4E" w:rsidP="00344C4E">
      <w:pPr>
        <w:pStyle w:val="Heading1"/>
        <w:numPr>
          <w:ilvl w:val="0"/>
          <w:numId w:val="1"/>
        </w:numPr>
        <w:spacing w:line="480" w:lineRule="auto"/>
        <w:rPr>
          <w:rFonts w:ascii="Times New Roman" w:hAnsi="Times New Roman" w:cs="Times New Roman"/>
          <w:b/>
          <w:bCs/>
          <w:color w:val="000000" w:themeColor="text1"/>
          <w:sz w:val="26"/>
          <w:szCs w:val="26"/>
          <w:lang w:val="en-US"/>
        </w:rPr>
      </w:pPr>
      <w:bookmarkStart w:id="3" w:name="_Toc136641723"/>
      <w:r w:rsidRPr="00344C4E">
        <w:rPr>
          <w:rFonts w:ascii="Times New Roman" w:hAnsi="Times New Roman" w:cs="Times New Roman"/>
          <w:b/>
          <w:bCs/>
          <w:color w:val="000000" w:themeColor="text1"/>
          <w:sz w:val="26"/>
          <w:szCs w:val="26"/>
          <w:lang w:val="en-US"/>
        </w:rPr>
        <w:t xml:space="preserve">Chen et al., (2016) – Critical analysis of </w:t>
      </w:r>
      <w:proofErr w:type="spellStart"/>
      <w:r w:rsidRPr="00344C4E">
        <w:rPr>
          <w:rFonts w:ascii="Times New Roman" w:hAnsi="Times New Roman" w:cs="Times New Roman"/>
          <w:b/>
          <w:bCs/>
          <w:color w:val="000000" w:themeColor="text1"/>
          <w:sz w:val="26"/>
          <w:szCs w:val="26"/>
          <w:lang w:val="en-US"/>
        </w:rPr>
        <w:t>Hurco</w:t>
      </w:r>
      <w:bookmarkEnd w:id="3"/>
      <w:proofErr w:type="spellEnd"/>
    </w:p>
    <w:p w14:paraId="24F89FFE" w14:textId="63ADBBD0" w:rsidR="00D12F8D" w:rsidRDefault="002A58A2" w:rsidP="002A58A2">
      <w:pPr>
        <w:spacing w:line="360" w:lineRule="auto"/>
        <w:jc w:val="both"/>
        <w:rPr>
          <w:rFonts w:ascii="Times New Roman" w:hAnsi="Times New Roman" w:cs="Times New Roman"/>
          <w:sz w:val="24"/>
          <w:szCs w:val="24"/>
          <w:lang w:val="en-US"/>
        </w:rPr>
      </w:pPr>
      <w:r w:rsidRPr="002A58A2">
        <w:rPr>
          <w:rFonts w:ascii="Times New Roman" w:hAnsi="Times New Roman" w:cs="Times New Roman"/>
          <w:sz w:val="24"/>
          <w:szCs w:val="24"/>
          <w:lang w:val="en-US"/>
        </w:rPr>
        <w:t xml:space="preserve">This selected article comprises of the case study of </w:t>
      </w:r>
      <w:proofErr w:type="spellStart"/>
      <w:r w:rsidRPr="002A58A2">
        <w:rPr>
          <w:rFonts w:ascii="Times New Roman" w:hAnsi="Times New Roman" w:cs="Times New Roman"/>
          <w:sz w:val="24"/>
          <w:szCs w:val="24"/>
          <w:lang w:val="en-US"/>
        </w:rPr>
        <w:t>Hurco</w:t>
      </w:r>
      <w:proofErr w:type="spellEnd"/>
      <w:r w:rsidRPr="002A58A2">
        <w:rPr>
          <w:rFonts w:ascii="Times New Roman" w:hAnsi="Times New Roman" w:cs="Times New Roman"/>
          <w:sz w:val="24"/>
          <w:szCs w:val="24"/>
          <w:lang w:val="en-US"/>
        </w:rPr>
        <w:t xml:space="preserve"> with a specific focus on highlighting the role of human resources management practices that the company follows to ensure the retention of expatriate employees. </w:t>
      </w:r>
      <w:proofErr w:type="spellStart"/>
      <w:r>
        <w:rPr>
          <w:rFonts w:ascii="Times New Roman" w:hAnsi="Times New Roman" w:cs="Times New Roman"/>
          <w:sz w:val="24"/>
          <w:szCs w:val="24"/>
          <w:lang w:val="en-US"/>
        </w:rPr>
        <w:t>Hurco</w:t>
      </w:r>
      <w:proofErr w:type="spellEnd"/>
      <w:r>
        <w:rPr>
          <w:rFonts w:ascii="Times New Roman" w:hAnsi="Times New Roman" w:cs="Times New Roman"/>
          <w:sz w:val="24"/>
          <w:szCs w:val="24"/>
          <w:lang w:val="en-US"/>
        </w:rPr>
        <w:t xml:space="preserve"> is a multinational company that extremely values compensation and career advancement in order to retain her employees while valuing their experience and professional contributions towards the progression and growth of the company. </w:t>
      </w:r>
      <w:r w:rsidR="0084500F">
        <w:rPr>
          <w:rFonts w:ascii="Times New Roman" w:hAnsi="Times New Roman" w:cs="Times New Roman"/>
          <w:sz w:val="24"/>
          <w:szCs w:val="24"/>
          <w:lang w:val="en-US"/>
        </w:rPr>
        <w:t xml:space="preserve">Considering the arena of career development, the company </w:t>
      </w:r>
      <w:r w:rsidR="0017551F">
        <w:rPr>
          <w:rFonts w:ascii="Times New Roman" w:hAnsi="Times New Roman" w:cs="Times New Roman"/>
          <w:sz w:val="24"/>
          <w:szCs w:val="24"/>
          <w:lang w:val="en-US"/>
        </w:rPr>
        <w:t xml:space="preserve">organizes </w:t>
      </w:r>
      <w:r w:rsidR="0017551F">
        <w:rPr>
          <w:rFonts w:ascii="Times New Roman" w:hAnsi="Times New Roman" w:cs="Times New Roman"/>
          <w:sz w:val="24"/>
          <w:szCs w:val="24"/>
          <w:lang w:val="en-US"/>
        </w:rPr>
        <w:lastRenderedPageBreak/>
        <w:t xml:space="preserve">numerous </w:t>
      </w:r>
      <w:proofErr w:type="gramStart"/>
      <w:r w:rsidR="0017551F">
        <w:rPr>
          <w:rFonts w:ascii="Times New Roman" w:hAnsi="Times New Roman" w:cs="Times New Roman"/>
          <w:sz w:val="24"/>
          <w:szCs w:val="24"/>
          <w:lang w:val="en-US"/>
        </w:rPr>
        <w:t>trainings</w:t>
      </w:r>
      <w:proofErr w:type="gramEnd"/>
      <w:r w:rsidR="0017551F">
        <w:rPr>
          <w:rFonts w:ascii="Times New Roman" w:hAnsi="Times New Roman" w:cs="Times New Roman"/>
          <w:sz w:val="24"/>
          <w:szCs w:val="24"/>
          <w:lang w:val="en-US"/>
        </w:rPr>
        <w:t xml:space="preserve"> </w:t>
      </w:r>
      <w:r w:rsidR="00C7111E">
        <w:rPr>
          <w:rFonts w:ascii="Times New Roman" w:hAnsi="Times New Roman" w:cs="Times New Roman"/>
          <w:sz w:val="24"/>
          <w:szCs w:val="24"/>
          <w:lang w:val="en-US"/>
        </w:rPr>
        <w:t xml:space="preserve">for the employees in order to keep them updated with the modern globally recognized trends, skills and competencies. These training courses open up career advancement opportunities for the expatriates. The article has also mentioned an exclusive focus of the company towards offering attractive compensation and rewards against the services as a strategy to retain the employees. In summary, the authors found a positive relationship between </w:t>
      </w:r>
      <w:proofErr w:type="gramStart"/>
      <w:r w:rsidR="00C7111E">
        <w:rPr>
          <w:rFonts w:ascii="Times New Roman" w:hAnsi="Times New Roman" w:cs="Times New Roman"/>
          <w:sz w:val="24"/>
          <w:szCs w:val="24"/>
          <w:lang w:val="en-US"/>
        </w:rPr>
        <w:t>the HR</w:t>
      </w:r>
      <w:proofErr w:type="gramEnd"/>
      <w:r w:rsidR="00C7111E">
        <w:rPr>
          <w:rFonts w:ascii="Times New Roman" w:hAnsi="Times New Roman" w:cs="Times New Roman"/>
          <w:sz w:val="24"/>
          <w:szCs w:val="24"/>
          <w:lang w:val="en-US"/>
        </w:rPr>
        <w:t xml:space="preserve"> practices and expatriates retention stating that the businesses should </w:t>
      </w:r>
      <w:r w:rsidR="00AF7E4F">
        <w:rPr>
          <w:rFonts w:ascii="Times New Roman" w:hAnsi="Times New Roman" w:cs="Times New Roman"/>
          <w:sz w:val="24"/>
          <w:szCs w:val="24"/>
          <w:lang w:val="en-US"/>
        </w:rPr>
        <w:t xml:space="preserve">take inspiration from </w:t>
      </w:r>
      <w:proofErr w:type="spellStart"/>
      <w:r w:rsidR="00AF7E4F">
        <w:rPr>
          <w:rFonts w:ascii="Times New Roman" w:hAnsi="Times New Roman" w:cs="Times New Roman"/>
          <w:sz w:val="24"/>
          <w:szCs w:val="24"/>
          <w:lang w:val="en-US"/>
        </w:rPr>
        <w:t>Hurco</w:t>
      </w:r>
      <w:proofErr w:type="spellEnd"/>
      <w:r w:rsidR="00AF7E4F">
        <w:rPr>
          <w:rFonts w:ascii="Times New Roman" w:hAnsi="Times New Roman" w:cs="Times New Roman"/>
          <w:sz w:val="24"/>
          <w:szCs w:val="24"/>
          <w:lang w:val="en-US"/>
        </w:rPr>
        <w:t xml:space="preserve"> and invest in career development and compensation </w:t>
      </w:r>
      <w:r w:rsidR="006E2FA5">
        <w:rPr>
          <w:rFonts w:ascii="Times New Roman" w:hAnsi="Times New Roman" w:cs="Times New Roman"/>
          <w:sz w:val="24"/>
          <w:szCs w:val="24"/>
          <w:lang w:val="en-US"/>
        </w:rPr>
        <w:t>domains of business management.</w:t>
      </w:r>
    </w:p>
    <w:p w14:paraId="7AC943AD" w14:textId="3BFB5613" w:rsidR="00B3674D" w:rsidRDefault="00B3674D" w:rsidP="002A58A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authors of this case study have a vast background in business management, research and development. Besides that, their qualification in the field of human resources management justifies their practical approach towards analyzing the business practices of </w:t>
      </w:r>
      <w:proofErr w:type="spellStart"/>
      <w:r>
        <w:rPr>
          <w:rFonts w:ascii="Times New Roman" w:hAnsi="Times New Roman" w:cs="Times New Roman"/>
          <w:sz w:val="24"/>
          <w:szCs w:val="24"/>
          <w:lang w:val="en-US"/>
        </w:rPr>
        <w:t>Hurco</w:t>
      </w:r>
      <w:proofErr w:type="spellEnd"/>
      <w:r>
        <w:rPr>
          <w:rFonts w:ascii="Times New Roman" w:hAnsi="Times New Roman" w:cs="Times New Roman"/>
          <w:sz w:val="24"/>
          <w:szCs w:val="24"/>
          <w:lang w:val="en-US"/>
        </w:rPr>
        <w:t xml:space="preserve">. The authors have also focused on adding literature related to the field in order to draw comparison of </w:t>
      </w:r>
      <w:proofErr w:type="gramStart"/>
      <w:r>
        <w:rPr>
          <w:rFonts w:ascii="Times New Roman" w:hAnsi="Times New Roman" w:cs="Times New Roman"/>
          <w:sz w:val="24"/>
          <w:szCs w:val="24"/>
          <w:lang w:val="en-US"/>
        </w:rPr>
        <w:t xml:space="preserve">the </w:t>
      </w:r>
      <w:proofErr w:type="spellStart"/>
      <w:r>
        <w:rPr>
          <w:rFonts w:ascii="Times New Roman" w:hAnsi="Times New Roman" w:cs="Times New Roman"/>
          <w:sz w:val="24"/>
          <w:szCs w:val="24"/>
          <w:lang w:val="en-US"/>
        </w:rPr>
        <w:t>Hurco’s</w:t>
      </w:r>
      <w:proofErr w:type="spellEnd"/>
      <w:proofErr w:type="gramEnd"/>
      <w:r>
        <w:rPr>
          <w:rFonts w:ascii="Times New Roman" w:hAnsi="Times New Roman" w:cs="Times New Roman"/>
          <w:sz w:val="24"/>
          <w:szCs w:val="24"/>
          <w:lang w:val="en-US"/>
        </w:rPr>
        <w:t xml:space="preserve"> practices and hence relate them with theoretical aspects highlighted by previous researchers. </w:t>
      </w:r>
    </w:p>
    <w:p w14:paraId="37C403D5" w14:textId="5D0C25F2" w:rsidR="00624875" w:rsidRDefault="00624875" w:rsidP="002A58A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had always studied career advancement as a supportive function to retain expatriates in an organization; however, to my surprise, this case organization opted for career advancement as a primary strategy for the attraction and retention of expatriates. </w:t>
      </w:r>
    </w:p>
    <w:p w14:paraId="5E541C5A" w14:textId="550E7E0F" w:rsidR="00BB24B1" w:rsidRDefault="00191DDC" w:rsidP="007D4D4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article could be improved by adding a comparative analysis of the practices of </w:t>
      </w:r>
      <w:proofErr w:type="spellStart"/>
      <w:r>
        <w:rPr>
          <w:rFonts w:ascii="Times New Roman" w:hAnsi="Times New Roman" w:cs="Times New Roman"/>
          <w:sz w:val="24"/>
          <w:szCs w:val="24"/>
          <w:lang w:val="en-US"/>
        </w:rPr>
        <w:t>Hurco</w:t>
      </w:r>
      <w:proofErr w:type="spellEnd"/>
      <w:r>
        <w:rPr>
          <w:rFonts w:ascii="Times New Roman" w:hAnsi="Times New Roman" w:cs="Times New Roman"/>
          <w:sz w:val="24"/>
          <w:szCs w:val="24"/>
          <w:lang w:val="en-US"/>
        </w:rPr>
        <w:t xml:space="preserve"> with competitor companies in order to understand the efficacy of different practices of human resources management. </w:t>
      </w:r>
      <w:r w:rsidR="00E85DF7">
        <w:rPr>
          <w:rFonts w:ascii="Times New Roman" w:hAnsi="Times New Roman" w:cs="Times New Roman"/>
          <w:sz w:val="24"/>
          <w:szCs w:val="24"/>
          <w:lang w:val="en-US"/>
        </w:rPr>
        <w:t xml:space="preserve">Likewise, the protocols of compensation management and types of rewards offered by the company may also be discussed. </w:t>
      </w:r>
    </w:p>
    <w:p w14:paraId="38E826AB" w14:textId="77777777" w:rsidR="00BB24B1" w:rsidRDefault="00BB24B1">
      <w:pPr>
        <w:rPr>
          <w:rFonts w:ascii="Times New Roman" w:hAnsi="Times New Roman" w:cs="Times New Roman"/>
          <w:sz w:val="24"/>
          <w:szCs w:val="24"/>
          <w:lang w:val="en-US"/>
        </w:rPr>
      </w:pPr>
      <w:r>
        <w:rPr>
          <w:rFonts w:ascii="Times New Roman" w:hAnsi="Times New Roman" w:cs="Times New Roman"/>
          <w:sz w:val="24"/>
          <w:szCs w:val="24"/>
          <w:lang w:val="en-US"/>
        </w:rPr>
        <w:br w:type="page"/>
      </w:r>
    </w:p>
    <w:bookmarkStart w:id="4" w:name="_Toc136641724" w:displacedByCustomXml="next"/>
    <w:sdt>
      <w:sdtPr>
        <w:rPr>
          <w:rFonts w:ascii="Times New Roman" w:hAnsi="Times New Roman" w:cs="Times New Roman"/>
          <w:sz w:val="24"/>
          <w:szCs w:val="24"/>
        </w:rPr>
        <w:id w:val="-784578968"/>
        <w:docPartObj>
          <w:docPartGallery w:val="Bibliographies"/>
          <w:docPartUnique/>
        </w:docPartObj>
      </w:sdtPr>
      <w:sdtEndPr>
        <w:rPr>
          <w:rFonts w:eastAsiaTheme="minorHAnsi"/>
          <w:color w:val="auto"/>
        </w:rPr>
      </w:sdtEndPr>
      <w:sdtContent>
        <w:p w14:paraId="194766BC" w14:textId="3BEB43A9" w:rsidR="00BB24B1" w:rsidRPr="00F575F4" w:rsidRDefault="00BB24B1" w:rsidP="007E7CAD">
          <w:pPr>
            <w:pStyle w:val="Heading1"/>
            <w:spacing w:line="480" w:lineRule="auto"/>
            <w:rPr>
              <w:rFonts w:ascii="Times New Roman" w:hAnsi="Times New Roman" w:cs="Times New Roman"/>
              <w:b/>
              <w:bCs/>
              <w:color w:val="000000" w:themeColor="text1"/>
              <w:sz w:val="24"/>
              <w:szCs w:val="24"/>
            </w:rPr>
          </w:pPr>
          <w:r w:rsidRPr="00F575F4">
            <w:rPr>
              <w:rFonts w:ascii="Times New Roman" w:hAnsi="Times New Roman" w:cs="Times New Roman"/>
              <w:b/>
              <w:bCs/>
              <w:color w:val="000000" w:themeColor="text1"/>
              <w:sz w:val="24"/>
              <w:szCs w:val="24"/>
            </w:rPr>
            <w:t>References</w:t>
          </w:r>
          <w:bookmarkEnd w:id="4"/>
        </w:p>
        <w:sdt>
          <w:sdtPr>
            <w:rPr>
              <w:rFonts w:ascii="Times New Roman" w:hAnsi="Times New Roman" w:cs="Times New Roman"/>
              <w:sz w:val="24"/>
              <w:szCs w:val="24"/>
            </w:rPr>
            <w:id w:val="-573587230"/>
            <w:bibliography/>
          </w:sdtPr>
          <w:sdtContent>
            <w:p w14:paraId="12BB1473" w14:textId="77777777" w:rsidR="00BB24B1" w:rsidRPr="00F575F4" w:rsidRDefault="00BB24B1" w:rsidP="00BB24B1">
              <w:pPr>
                <w:pStyle w:val="Bibliography"/>
                <w:ind w:left="720" w:hanging="720"/>
                <w:rPr>
                  <w:rFonts w:ascii="Times New Roman" w:hAnsi="Times New Roman" w:cs="Times New Roman"/>
                  <w:noProof/>
                  <w:kern w:val="0"/>
                  <w:sz w:val="24"/>
                  <w:szCs w:val="24"/>
                  <w14:ligatures w14:val="none"/>
                </w:rPr>
              </w:pPr>
              <w:r w:rsidRPr="00F575F4">
                <w:rPr>
                  <w:rFonts w:ascii="Times New Roman" w:hAnsi="Times New Roman" w:cs="Times New Roman"/>
                  <w:sz w:val="24"/>
                  <w:szCs w:val="24"/>
                </w:rPr>
                <w:fldChar w:fldCharType="begin"/>
              </w:r>
              <w:r w:rsidRPr="00F575F4">
                <w:rPr>
                  <w:rFonts w:ascii="Times New Roman" w:hAnsi="Times New Roman" w:cs="Times New Roman"/>
                  <w:sz w:val="24"/>
                  <w:szCs w:val="24"/>
                </w:rPr>
                <w:instrText xml:space="preserve"> BIBLIOGRAPHY </w:instrText>
              </w:r>
              <w:r w:rsidRPr="00F575F4">
                <w:rPr>
                  <w:rFonts w:ascii="Times New Roman" w:hAnsi="Times New Roman" w:cs="Times New Roman"/>
                  <w:sz w:val="24"/>
                  <w:szCs w:val="24"/>
                </w:rPr>
                <w:fldChar w:fldCharType="separate"/>
              </w:r>
              <w:r w:rsidRPr="00F575F4">
                <w:rPr>
                  <w:rFonts w:ascii="Times New Roman" w:hAnsi="Times New Roman" w:cs="Times New Roman"/>
                  <w:noProof/>
                  <w:sz w:val="24"/>
                  <w:szCs w:val="24"/>
                </w:rPr>
                <w:t>Chen, &amp; Wang. (2016). The HRM practices of MNCs and their impact on expatriate retention: A case study of Hurco.</w:t>
              </w:r>
            </w:p>
            <w:p w14:paraId="2E0C289D" w14:textId="77777777" w:rsidR="00BB24B1" w:rsidRPr="00F575F4" w:rsidRDefault="00BB24B1" w:rsidP="00BB24B1">
              <w:pPr>
                <w:pStyle w:val="Bibliography"/>
                <w:ind w:left="720" w:hanging="720"/>
                <w:rPr>
                  <w:rFonts w:ascii="Times New Roman" w:hAnsi="Times New Roman" w:cs="Times New Roman"/>
                  <w:noProof/>
                  <w:sz w:val="24"/>
                  <w:szCs w:val="24"/>
                </w:rPr>
              </w:pPr>
              <w:r w:rsidRPr="00F575F4">
                <w:rPr>
                  <w:rFonts w:ascii="Times New Roman" w:hAnsi="Times New Roman" w:cs="Times New Roman"/>
                  <w:noProof/>
                  <w:sz w:val="24"/>
                  <w:szCs w:val="24"/>
                </w:rPr>
                <w:t xml:space="preserve">Fee, &amp; Michailova. (2019). How host organizations prepare for and learn from expatriate assignments. </w:t>
              </w:r>
              <w:r w:rsidRPr="00F575F4">
                <w:rPr>
                  <w:rFonts w:ascii="Times New Roman" w:hAnsi="Times New Roman" w:cs="Times New Roman"/>
                  <w:i/>
                  <w:iCs/>
                  <w:noProof/>
                  <w:sz w:val="24"/>
                  <w:szCs w:val="24"/>
                </w:rPr>
                <w:t>Thunderbird International Business Review</w:t>
              </w:r>
              <w:r w:rsidRPr="00F575F4">
                <w:rPr>
                  <w:rFonts w:ascii="Times New Roman" w:hAnsi="Times New Roman" w:cs="Times New Roman"/>
                  <w:noProof/>
                  <w:sz w:val="24"/>
                  <w:szCs w:val="24"/>
                </w:rPr>
                <w:t>, 329-342.</w:t>
              </w:r>
            </w:p>
            <w:p w14:paraId="237EE8A7" w14:textId="77777777" w:rsidR="00BB24B1" w:rsidRPr="00F575F4" w:rsidRDefault="00BB24B1" w:rsidP="00BB24B1">
              <w:pPr>
                <w:pStyle w:val="Bibliography"/>
                <w:ind w:left="720" w:hanging="720"/>
                <w:rPr>
                  <w:rFonts w:ascii="Times New Roman" w:hAnsi="Times New Roman" w:cs="Times New Roman"/>
                  <w:noProof/>
                  <w:sz w:val="24"/>
                  <w:szCs w:val="24"/>
                </w:rPr>
              </w:pPr>
              <w:r w:rsidRPr="00F575F4">
                <w:rPr>
                  <w:rFonts w:ascii="Times New Roman" w:hAnsi="Times New Roman" w:cs="Times New Roman"/>
                  <w:noProof/>
                  <w:sz w:val="24"/>
                  <w:szCs w:val="24"/>
                </w:rPr>
                <w:t>Gregg Learning. (2020). Expatriate preparation. From https://youtu.be/206TQlvLcQ0</w:t>
              </w:r>
            </w:p>
            <w:p w14:paraId="56B00B6F" w14:textId="77777777" w:rsidR="00BB24B1" w:rsidRPr="00F575F4" w:rsidRDefault="00BB24B1" w:rsidP="00BB24B1">
              <w:pPr>
                <w:pStyle w:val="Bibliography"/>
                <w:ind w:left="720" w:hanging="720"/>
                <w:rPr>
                  <w:rFonts w:ascii="Times New Roman" w:hAnsi="Times New Roman" w:cs="Times New Roman"/>
                  <w:noProof/>
                  <w:sz w:val="24"/>
                  <w:szCs w:val="24"/>
                </w:rPr>
              </w:pPr>
              <w:r w:rsidRPr="00F575F4">
                <w:rPr>
                  <w:rFonts w:ascii="Times New Roman" w:hAnsi="Times New Roman" w:cs="Times New Roman"/>
                  <w:noProof/>
                  <w:sz w:val="24"/>
                  <w:szCs w:val="24"/>
                </w:rPr>
                <w:t xml:space="preserve">Kerr. (2019). Chapter 1 - Talent on the move; Chapter 7: The new HR Challenge. In </w:t>
              </w:r>
              <w:r w:rsidRPr="00F575F4">
                <w:rPr>
                  <w:rFonts w:ascii="Times New Roman" w:hAnsi="Times New Roman" w:cs="Times New Roman"/>
                  <w:i/>
                  <w:iCs/>
                  <w:noProof/>
                  <w:sz w:val="24"/>
                  <w:szCs w:val="24"/>
                </w:rPr>
                <w:t>The gift of global talent: how migration shapes business, economy and society .</w:t>
              </w:r>
              <w:r w:rsidRPr="00F575F4">
                <w:rPr>
                  <w:rFonts w:ascii="Times New Roman" w:hAnsi="Times New Roman" w:cs="Times New Roman"/>
                  <w:noProof/>
                  <w:sz w:val="24"/>
                  <w:szCs w:val="24"/>
                </w:rPr>
                <w:t xml:space="preserve"> Stanford Business Books.</w:t>
              </w:r>
            </w:p>
            <w:p w14:paraId="633CF1AB" w14:textId="22C00778" w:rsidR="00BB24B1" w:rsidRDefault="00BB24B1" w:rsidP="00BB24B1">
              <w:r w:rsidRPr="00F575F4">
                <w:rPr>
                  <w:rFonts w:ascii="Times New Roman" w:hAnsi="Times New Roman" w:cs="Times New Roman"/>
                  <w:noProof/>
                  <w:sz w:val="24"/>
                  <w:szCs w:val="24"/>
                </w:rPr>
                <w:fldChar w:fldCharType="end"/>
              </w:r>
            </w:p>
          </w:sdtContent>
        </w:sdt>
      </w:sdtContent>
    </w:sdt>
    <w:p w14:paraId="26458BEC" w14:textId="77777777" w:rsidR="00714B1D" w:rsidRPr="00BB24B1" w:rsidRDefault="00714B1D" w:rsidP="007D4D41">
      <w:pPr>
        <w:spacing w:line="360" w:lineRule="auto"/>
        <w:jc w:val="both"/>
        <w:rPr>
          <w:rFonts w:ascii="Times New Roman" w:hAnsi="Times New Roman" w:cs="Times New Roman"/>
          <w:sz w:val="24"/>
          <w:szCs w:val="24"/>
          <w:lang w:val="en-US"/>
        </w:rPr>
      </w:pPr>
    </w:p>
    <w:sectPr w:rsidR="00714B1D" w:rsidRPr="00BB24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60DF0"/>
    <w:multiLevelType w:val="hybridMultilevel"/>
    <w:tmpl w:val="8EB2D820"/>
    <w:lvl w:ilvl="0" w:tplc="2000000F">
      <w:start w:val="1"/>
      <w:numFmt w:val="decimal"/>
      <w:lvlText w:val="%1."/>
      <w:lvlJc w:val="left"/>
      <w:pPr>
        <w:ind w:left="360" w:hanging="360"/>
      </w:pPr>
      <w:rPr>
        <w:rFonts w:hint="default"/>
      </w:rPr>
    </w:lvl>
    <w:lvl w:ilvl="1" w:tplc="20000019">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064916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jC0NDG2sDQ3MTExNzFQ0lEKTi0uzszPAykwrAUA5D0DnSwAAAA="/>
  </w:docVars>
  <w:rsids>
    <w:rsidRoot w:val="003C5A4F"/>
    <w:rsid w:val="00004802"/>
    <w:rsid w:val="0004375B"/>
    <w:rsid w:val="000629CD"/>
    <w:rsid w:val="0007743B"/>
    <w:rsid w:val="000C57C0"/>
    <w:rsid w:val="000F5E40"/>
    <w:rsid w:val="00107FC5"/>
    <w:rsid w:val="001573AF"/>
    <w:rsid w:val="0017551F"/>
    <w:rsid w:val="00191DDC"/>
    <w:rsid w:val="00283DDA"/>
    <w:rsid w:val="00290F18"/>
    <w:rsid w:val="002A58A2"/>
    <w:rsid w:val="00344C4E"/>
    <w:rsid w:val="00377918"/>
    <w:rsid w:val="003C5A4F"/>
    <w:rsid w:val="00426A6D"/>
    <w:rsid w:val="004347FA"/>
    <w:rsid w:val="00557256"/>
    <w:rsid w:val="00624875"/>
    <w:rsid w:val="00625979"/>
    <w:rsid w:val="00667BBC"/>
    <w:rsid w:val="00672D88"/>
    <w:rsid w:val="00695372"/>
    <w:rsid w:val="006E2FA5"/>
    <w:rsid w:val="00714B1D"/>
    <w:rsid w:val="007A3CF8"/>
    <w:rsid w:val="007D4D41"/>
    <w:rsid w:val="007E1828"/>
    <w:rsid w:val="007E7CAD"/>
    <w:rsid w:val="007F5FD0"/>
    <w:rsid w:val="00835975"/>
    <w:rsid w:val="0084500F"/>
    <w:rsid w:val="00855616"/>
    <w:rsid w:val="0088162F"/>
    <w:rsid w:val="00882AF9"/>
    <w:rsid w:val="008917EC"/>
    <w:rsid w:val="00981E16"/>
    <w:rsid w:val="00987293"/>
    <w:rsid w:val="009F6EF3"/>
    <w:rsid w:val="009F7B1E"/>
    <w:rsid w:val="00A144B6"/>
    <w:rsid w:val="00A378F2"/>
    <w:rsid w:val="00A45576"/>
    <w:rsid w:val="00A974AA"/>
    <w:rsid w:val="00AF7E4F"/>
    <w:rsid w:val="00B23387"/>
    <w:rsid w:val="00B32404"/>
    <w:rsid w:val="00B3674D"/>
    <w:rsid w:val="00B458CC"/>
    <w:rsid w:val="00B54CFA"/>
    <w:rsid w:val="00B6569D"/>
    <w:rsid w:val="00BB24B1"/>
    <w:rsid w:val="00BC79B5"/>
    <w:rsid w:val="00C64BCC"/>
    <w:rsid w:val="00C7111E"/>
    <w:rsid w:val="00D06E6C"/>
    <w:rsid w:val="00D12F8D"/>
    <w:rsid w:val="00DA6479"/>
    <w:rsid w:val="00DB58B4"/>
    <w:rsid w:val="00DF3C93"/>
    <w:rsid w:val="00DF4E5A"/>
    <w:rsid w:val="00E13AC2"/>
    <w:rsid w:val="00E85DF7"/>
    <w:rsid w:val="00F13363"/>
    <w:rsid w:val="00F575F4"/>
    <w:rsid w:val="00FD54BD"/>
    <w:rsid w:val="00FE751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E878"/>
  <w15:chartTrackingRefBased/>
  <w15:docId w15:val="{7840C243-89D5-4819-BDC3-081E6DF3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D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5A4F"/>
    <w:pPr>
      <w:spacing w:before="100" w:beforeAutospacing="1" w:after="100" w:afterAutospacing="1" w:line="240" w:lineRule="auto"/>
    </w:pPr>
    <w:rPr>
      <w:rFonts w:ascii="Times New Roman" w:eastAsia="Times New Roman" w:hAnsi="Times New Roman" w:cs="Times New Roman"/>
      <w:kern w:val="0"/>
      <w:sz w:val="24"/>
      <w:szCs w:val="24"/>
      <w:lang w:eastAsia="en-PK"/>
    </w:rPr>
  </w:style>
  <w:style w:type="character" w:customStyle="1" w:styleId="Heading1Char">
    <w:name w:val="Heading 1 Char"/>
    <w:basedOn w:val="DefaultParagraphFont"/>
    <w:link w:val="Heading1"/>
    <w:uiPriority w:val="9"/>
    <w:rsid w:val="00672D88"/>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BB24B1"/>
  </w:style>
  <w:style w:type="paragraph" w:styleId="TOCHeading">
    <w:name w:val="TOC Heading"/>
    <w:basedOn w:val="Heading1"/>
    <w:next w:val="Normal"/>
    <w:uiPriority w:val="39"/>
    <w:unhideWhenUsed/>
    <w:qFormat/>
    <w:rsid w:val="00E13AC2"/>
    <w:pPr>
      <w:outlineLvl w:val="9"/>
    </w:pPr>
    <w:rPr>
      <w:kern w:val="0"/>
      <w:lang w:val="en-US"/>
    </w:rPr>
  </w:style>
  <w:style w:type="paragraph" w:styleId="TOC1">
    <w:name w:val="toc 1"/>
    <w:basedOn w:val="Normal"/>
    <w:next w:val="Normal"/>
    <w:autoRedefine/>
    <w:uiPriority w:val="39"/>
    <w:unhideWhenUsed/>
    <w:rsid w:val="00E13AC2"/>
    <w:pPr>
      <w:spacing w:after="100"/>
    </w:pPr>
  </w:style>
  <w:style w:type="character" w:styleId="Hyperlink">
    <w:name w:val="Hyperlink"/>
    <w:basedOn w:val="DefaultParagraphFont"/>
    <w:uiPriority w:val="99"/>
    <w:unhideWhenUsed/>
    <w:rsid w:val="00E13A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19753">
      <w:bodyDiv w:val="1"/>
      <w:marLeft w:val="0"/>
      <w:marRight w:val="0"/>
      <w:marTop w:val="0"/>
      <w:marBottom w:val="0"/>
      <w:divBdr>
        <w:top w:val="none" w:sz="0" w:space="0" w:color="auto"/>
        <w:left w:val="none" w:sz="0" w:space="0" w:color="auto"/>
        <w:bottom w:val="none" w:sz="0" w:space="0" w:color="auto"/>
        <w:right w:val="none" w:sz="0" w:space="0" w:color="auto"/>
      </w:divBdr>
    </w:div>
    <w:div w:id="1833641678">
      <w:bodyDiv w:val="1"/>
      <w:marLeft w:val="0"/>
      <w:marRight w:val="0"/>
      <w:marTop w:val="0"/>
      <w:marBottom w:val="0"/>
      <w:divBdr>
        <w:top w:val="none" w:sz="0" w:space="0" w:color="auto"/>
        <w:left w:val="none" w:sz="0" w:space="0" w:color="auto"/>
        <w:bottom w:val="none" w:sz="0" w:space="0" w:color="auto"/>
        <w:right w:val="none" w:sz="0" w:space="0" w:color="auto"/>
      </w:divBdr>
      <w:divsChild>
        <w:div w:id="407264608">
          <w:marLeft w:val="0"/>
          <w:marRight w:val="0"/>
          <w:marTop w:val="0"/>
          <w:marBottom w:val="0"/>
          <w:divBdr>
            <w:top w:val="none" w:sz="0" w:space="0" w:color="auto"/>
            <w:left w:val="none" w:sz="0" w:space="0" w:color="auto"/>
            <w:bottom w:val="none" w:sz="0" w:space="0" w:color="auto"/>
            <w:right w:val="none" w:sz="0" w:space="0" w:color="auto"/>
          </w:divBdr>
        </w:div>
        <w:div w:id="1205870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Ker19</b:Tag>
    <b:SourceType>BookSection</b:SourceType>
    <b:Guid>{12BA1009-D60D-4314-98DD-0493EDBF8267}</b:Guid>
    <b:Title>Chapter 1 - Talent on the move; Chapter 7: The new HR Challenge</b:Title>
    <b:Year>2019</b:Year>
    <b:Author>
      <b:Author>
        <b:NameList>
          <b:Person>
            <b:Last>Kerr</b:Last>
          </b:Person>
        </b:NameList>
      </b:Author>
    </b:Author>
    <b:BookTitle>The gift of global talent: how migration shapes business, economy and society </b:BookTitle>
    <b:Publisher>Stanford Business Books</b:Publisher>
    <b:RefOrder>1</b:RefOrder>
  </b:Source>
  <b:Source>
    <b:Tag>Lea20</b:Tag>
    <b:SourceType>Misc</b:SourceType>
    <b:Guid>{E007CBAF-8C92-4BF3-95E3-A5907110C188}</b:Guid>
    <b:Title>Expatriate preparation</b:Title>
    <b:Year>2020</b:Year>
    <b:Author>
      <b:Author>
        <b:Corporate>Gregg Learning</b:Corporate>
      </b:Author>
    </b:Author>
    <b:URL>https://youtu.be/206TQlvLcQ0</b:URL>
    <b:RefOrder>2</b:RefOrder>
  </b:Source>
  <b:Source>
    <b:Tag>Fee19</b:Tag>
    <b:SourceType>JournalArticle</b:SourceType>
    <b:Guid>{5E0EC509-46F4-4214-AC17-737E68FD47D9}</b:Guid>
    <b:Title>How host organizations prepare for and learn from expatriate assignments</b:Title>
    <b:Year>2019</b:Year>
    <b:Author>
      <b:Author>
        <b:NameList>
          <b:Person>
            <b:Last>Fee</b:Last>
          </b:Person>
          <b:Person>
            <b:Last>Michailova</b:Last>
          </b:Person>
        </b:NameList>
      </b:Author>
    </b:Author>
    <b:JournalName>Thunderbird International Business Review</b:JournalName>
    <b:Pages>329-342</b:Pages>
    <b:RefOrder>3</b:RefOrder>
  </b:Source>
  <b:Source>
    <b:Tag>Che161</b:Tag>
    <b:SourceType>JournalArticle</b:SourceType>
    <b:Guid>{4AE47262-CE29-4534-AF24-34932AD9A7B8}</b:Guid>
    <b:Author>
      <b:Author>
        <b:NameList>
          <b:Person>
            <b:Last>Chen</b:Last>
          </b:Person>
          <b:Person>
            <b:Last>Wang</b:Last>
          </b:Person>
        </b:NameList>
      </b:Author>
    </b:Author>
    <b:Title>The HRM practices of MNCs and their impact on expatriate retention: A case study of Hurco.</b:Title>
    <b:Year>2016</b:Year>
    <b:RefOrder>4</b:RefOrder>
  </b:Source>
</b:Sources>
</file>

<file path=customXml/itemProps1.xml><?xml version="1.0" encoding="utf-8"?>
<ds:datastoreItem xmlns:ds="http://schemas.openxmlformats.org/officeDocument/2006/customXml" ds:itemID="{04C9193F-B423-4376-96DE-F7956A73A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1588</Words>
  <Characters>9054</Characters>
  <DocSecurity>0</DocSecurity>
  <Lines>75</Lines>
  <Paragraphs>21</Paragraphs>
  <ScaleCrop>false</ScaleCrop>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2023-06-02T15:32:00Z</dcterms:created>
  <dcterms:modified xsi:type="dcterms:W3CDTF">2023-06-02T18:42:00Z</dcterms:modified>
</cp:coreProperties>
</file>