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color w:val="000000" w:themeColor="text1"/>
          <w:sz w:val="26"/>
          <w:szCs w:val="26"/>
        </w:rPr>
        <w:id w:val="-658613348"/>
        <w:docPartObj>
          <w:docPartGallery w:val="Table of Contents"/>
          <w:docPartUnique/>
        </w:docPartObj>
      </w:sdtPr>
      <w:sdtEndPr>
        <w:rPr>
          <w:rFonts w:eastAsiaTheme="minorHAnsi"/>
          <w:noProof/>
          <w:color w:val="auto"/>
          <w:kern w:val="2"/>
          <w:sz w:val="24"/>
          <w:szCs w:val="24"/>
          <w:lang w:val="en-PK"/>
        </w:rPr>
      </w:sdtEndPr>
      <w:sdtContent>
        <w:p w14:paraId="6927508D" w14:textId="6FC3C508" w:rsidR="00EA41C6" w:rsidRPr="006161D6" w:rsidRDefault="00EA41C6" w:rsidP="006161D6">
          <w:pPr>
            <w:pStyle w:val="TOCHeading"/>
            <w:spacing w:line="480" w:lineRule="auto"/>
            <w:jc w:val="center"/>
            <w:rPr>
              <w:rFonts w:ascii="Times New Roman" w:hAnsi="Times New Roman" w:cs="Times New Roman"/>
              <w:b/>
              <w:bCs/>
              <w:color w:val="000000" w:themeColor="text1"/>
              <w:sz w:val="26"/>
              <w:szCs w:val="26"/>
            </w:rPr>
          </w:pPr>
          <w:r w:rsidRPr="006161D6">
            <w:rPr>
              <w:rFonts w:ascii="Times New Roman" w:hAnsi="Times New Roman" w:cs="Times New Roman"/>
              <w:b/>
              <w:bCs/>
              <w:color w:val="000000" w:themeColor="text1"/>
              <w:sz w:val="26"/>
              <w:szCs w:val="26"/>
            </w:rPr>
            <w:t>Table of Contents</w:t>
          </w:r>
        </w:p>
        <w:p w14:paraId="5E385E2A" w14:textId="1B24B86F" w:rsidR="00EA41C6" w:rsidRPr="006161D6" w:rsidRDefault="00EA41C6" w:rsidP="006161D6">
          <w:pPr>
            <w:pStyle w:val="TOC1"/>
            <w:tabs>
              <w:tab w:val="left" w:pos="440"/>
              <w:tab w:val="right" w:leader="dot" w:pos="9016"/>
            </w:tabs>
            <w:spacing w:line="240" w:lineRule="auto"/>
            <w:rPr>
              <w:rFonts w:ascii="Times New Roman" w:hAnsi="Times New Roman" w:cs="Times New Roman"/>
              <w:noProof/>
              <w:sz w:val="24"/>
              <w:szCs w:val="24"/>
            </w:rPr>
          </w:pPr>
          <w:r w:rsidRPr="006161D6">
            <w:rPr>
              <w:rFonts w:ascii="Times New Roman" w:hAnsi="Times New Roman" w:cs="Times New Roman"/>
              <w:sz w:val="24"/>
              <w:szCs w:val="24"/>
            </w:rPr>
            <w:fldChar w:fldCharType="begin"/>
          </w:r>
          <w:r w:rsidRPr="006161D6">
            <w:rPr>
              <w:rFonts w:ascii="Times New Roman" w:hAnsi="Times New Roman" w:cs="Times New Roman"/>
              <w:sz w:val="24"/>
              <w:szCs w:val="24"/>
            </w:rPr>
            <w:instrText xml:space="preserve"> TOC \o "1-3" \h \z \u </w:instrText>
          </w:r>
          <w:r w:rsidRPr="006161D6">
            <w:rPr>
              <w:rFonts w:ascii="Times New Roman" w:hAnsi="Times New Roman" w:cs="Times New Roman"/>
              <w:sz w:val="24"/>
              <w:szCs w:val="24"/>
            </w:rPr>
            <w:fldChar w:fldCharType="separate"/>
          </w:r>
          <w:hyperlink w:anchor="_Toc138794300" w:history="1">
            <w:r w:rsidRPr="006161D6">
              <w:rPr>
                <w:rStyle w:val="Hyperlink"/>
                <w:rFonts w:ascii="Times New Roman" w:hAnsi="Times New Roman" w:cs="Times New Roman"/>
                <w:b/>
                <w:bCs/>
                <w:noProof/>
                <w:sz w:val="24"/>
                <w:szCs w:val="24"/>
                <w:lang w:val="en-US"/>
              </w:rPr>
              <w:t>1.</w:t>
            </w:r>
            <w:r w:rsidRPr="006161D6">
              <w:rPr>
                <w:rFonts w:ascii="Times New Roman" w:hAnsi="Times New Roman" w:cs="Times New Roman"/>
                <w:noProof/>
                <w:sz w:val="24"/>
                <w:szCs w:val="24"/>
              </w:rPr>
              <w:tab/>
            </w:r>
            <w:r w:rsidRPr="006161D6">
              <w:rPr>
                <w:rStyle w:val="Hyperlink"/>
                <w:rFonts w:ascii="Times New Roman" w:hAnsi="Times New Roman" w:cs="Times New Roman"/>
                <w:b/>
                <w:bCs/>
                <w:noProof/>
                <w:sz w:val="24"/>
                <w:szCs w:val="24"/>
                <w:lang w:val="en-US"/>
              </w:rPr>
              <w:t>Introduction</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_Toc138794300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1</w:t>
            </w:r>
            <w:r w:rsidRPr="006161D6">
              <w:rPr>
                <w:rFonts w:ascii="Times New Roman" w:hAnsi="Times New Roman" w:cs="Times New Roman"/>
                <w:noProof/>
                <w:webHidden/>
                <w:sz w:val="24"/>
                <w:szCs w:val="24"/>
              </w:rPr>
              <w:fldChar w:fldCharType="end"/>
            </w:r>
          </w:hyperlink>
        </w:p>
        <w:p w14:paraId="338156B6" w14:textId="3A503891" w:rsidR="00EA41C6" w:rsidRPr="006161D6" w:rsidRDefault="00EA41C6" w:rsidP="006161D6">
          <w:pPr>
            <w:pStyle w:val="TOC1"/>
            <w:tabs>
              <w:tab w:val="left" w:pos="660"/>
              <w:tab w:val="right" w:leader="dot" w:pos="9016"/>
            </w:tabs>
            <w:spacing w:line="240" w:lineRule="auto"/>
            <w:rPr>
              <w:rFonts w:ascii="Times New Roman" w:hAnsi="Times New Roman" w:cs="Times New Roman"/>
              <w:noProof/>
              <w:sz w:val="24"/>
              <w:szCs w:val="24"/>
            </w:rPr>
          </w:pPr>
          <w:hyperlink w:anchor="_Toc138794301" w:history="1">
            <w:r w:rsidRPr="006161D6">
              <w:rPr>
                <w:rStyle w:val="Hyperlink"/>
                <w:rFonts w:ascii="Times New Roman" w:hAnsi="Times New Roman" w:cs="Times New Roman"/>
                <w:b/>
                <w:bCs/>
                <w:noProof/>
                <w:sz w:val="24"/>
                <w:szCs w:val="24"/>
                <w:lang w:val="en-US"/>
              </w:rPr>
              <w:t>1.1.</w:t>
            </w:r>
            <w:r w:rsidRPr="006161D6">
              <w:rPr>
                <w:rFonts w:ascii="Times New Roman" w:hAnsi="Times New Roman" w:cs="Times New Roman"/>
                <w:noProof/>
                <w:sz w:val="24"/>
                <w:szCs w:val="24"/>
              </w:rPr>
              <w:tab/>
            </w:r>
            <w:r w:rsidRPr="006161D6">
              <w:rPr>
                <w:rStyle w:val="Hyperlink"/>
                <w:rFonts w:ascii="Times New Roman" w:hAnsi="Times New Roman" w:cs="Times New Roman"/>
                <w:b/>
                <w:bCs/>
                <w:noProof/>
                <w:sz w:val="24"/>
                <w:szCs w:val="24"/>
                <w:lang w:val="en-US"/>
              </w:rPr>
              <w:t>Diversity turnover</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_Toc138794301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1</w:t>
            </w:r>
            <w:r w:rsidRPr="006161D6">
              <w:rPr>
                <w:rFonts w:ascii="Times New Roman" w:hAnsi="Times New Roman" w:cs="Times New Roman"/>
                <w:noProof/>
                <w:webHidden/>
                <w:sz w:val="24"/>
                <w:szCs w:val="24"/>
              </w:rPr>
              <w:fldChar w:fldCharType="end"/>
            </w:r>
          </w:hyperlink>
        </w:p>
        <w:p w14:paraId="03E85BB6" w14:textId="253235B7" w:rsidR="00EA41C6" w:rsidRPr="006161D6" w:rsidRDefault="00EA41C6" w:rsidP="006161D6">
          <w:pPr>
            <w:pStyle w:val="TOC1"/>
            <w:tabs>
              <w:tab w:val="left" w:pos="660"/>
              <w:tab w:val="right" w:leader="dot" w:pos="9016"/>
            </w:tabs>
            <w:spacing w:line="240" w:lineRule="auto"/>
            <w:rPr>
              <w:rFonts w:ascii="Times New Roman" w:hAnsi="Times New Roman" w:cs="Times New Roman"/>
              <w:noProof/>
              <w:sz w:val="24"/>
              <w:szCs w:val="24"/>
            </w:rPr>
          </w:pPr>
          <w:hyperlink w:anchor="_Toc138794302" w:history="1">
            <w:r w:rsidRPr="006161D6">
              <w:rPr>
                <w:rStyle w:val="Hyperlink"/>
                <w:rFonts w:ascii="Times New Roman" w:hAnsi="Times New Roman" w:cs="Times New Roman"/>
                <w:b/>
                <w:bCs/>
                <w:noProof/>
                <w:sz w:val="24"/>
                <w:szCs w:val="24"/>
                <w:lang w:val="en-US"/>
              </w:rPr>
              <w:t>1.2.</w:t>
            </w:r>
            <w:r w:rsidRPr="006161D6">
              <w:rPr>
                <w:rFonts w:ascii="Times New Roman" w:hAnsi="Times New Roman" w:cs="Times New Roman"/>
                <w:noProof/>
                <w:sz w:val="24"/>
                <w:szCs w:val="24"/>
              </w:rPr>
              <w:tab/>
            </w:r>
            <w:r w:rsidRPr="006161D6">
              <w:rPr>
                <w:rStyle w:val="Hyperlink"/>
                <w:rFonts w:ascii="Times New Roman" w:hAnsi="Times New Roman" w:cs="Times New Roman"/>
                <w:b/>
                <w:bCs/>
                <w:noProof/>
                <w:sz w:val="24"/>
                <w:szCs w:val="24"/>
                <w:lang w:val="en-US"/>
              </w:rPr>
              <w:t>Learning and growth opportunities</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_Toc138794302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2</w:t>
            </w:r>
            <w:r w:rsidRPr="006161D6">
              <w:rPr>
                <w:rFonts w:ascii="Times New Roman" w:hAnsi="Times New Roman" w:cs="Times New Roman"/>
                <w:noProof/>
                <w:webHidden/>
                <w:sz w:val="24"/>
                <w:szCs w:val="24"/>
              </w:rPr>
              <w:fldChar w:fldCharType="end"/>
            </w:r>
          </w:hyperlink>
        </w:p>
        <w:p w14:paraId="0413158F" w14:textId="7EF78735" w:rsidR="00EA41C6" w:rsidRPr="006161D6" w:rsidRDefault="00EA41C6" w:rsidP="006161D6">
          <w:pPr>
            <w:pStyle w:val="TOC1"/>
            <w:tabs>
              <w:tab w:val="left" w:pos="660"/>
              <w:tab w:val="right" w:leader="dot" w:pos="9016"/>
            </w:tabs>
            <w:spacing w:line="240" w:lineRule="auto"/>
            <w:rPr>
              <w:rFonts w:ascii="Times New Roman" w:hAnsi="Times New Roman" w:cs="Times New Roman"/>
              <w:noProof/>
              <w:sz w:val="24"/>
              <w:szCs w:val="24"/>
            </w:rPr>
          </w:pPr>
          <w:hyperlink w:anchor="_Toc138794303" w:history="1">
            <w:r w:rsidRPr="006161D6">
              <w:rPr>
                <w:rStyle w:val="Hyperlink"/>
                <w:rFonts w:ascii="Times New Roman" w:hAnsi="Times New Roman" w:cs="Times New Roman"/>
                <w:b/>
                <w:bCs/>
                <w:noProof/>
                <w:sz w:val="24"/>
                <w:szCs w:val="24"/>
                <w:lang w:val="en-US"/>
              </w:rPr>
              <w:t>1.3.</w:t>
            </w:r>
            <w:r w:rsidRPr="006161D6">
              <w:rPr>
                <w:rFonts w:ascii="Times New Roman" w:hAnsi="Times New Roman" w:cs="Times New Roman"/>
                <w:noProof/>
                <w:sz w:val="24"/>
                <w:szCs w:val="24"/>
              </w:rPr>
              <w:tab/>
            </w:r>
            <w:r w:rsidRPr="006161D6">
              <w:rPr>
                <w:rStyle w:val="Hyperlink"/>
                <w:rFonts w:ascii="Times New Roman" w:hAnsi="Times New Roman" w:cs="Times New Roman"/>
                <w:b/>
                <w:bCs/>
                <w:noProof/>
                <w:sz w:val="24"/>
                <w:szCs w:val="24"/>
                <w:lang w:val="en-US"/>
              </w:rPr>
              <w:t>Preventable turnover</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_Toc138794303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2</w:t>
            </w:r>
            <w:r w:rsidRPr="006161D6">
              <w:rPr>
                <w:rFonts w:ascii="Times New Roman" w:hAnsi="Times New Roman" w:cs="Times New Roman"/>
                <w:noProof/>
                <w:webHidden/>
                <w:sz w:val="24"/>
                <w:szCs w:val="24"/>
              </w:rPr>
              <w:fldChar w:fldCharType="end"/>
            </w:r>
          </w:hyperlink>
        </w:p>
        <w:p w14:paraId="6B2ECA84" w14:textId="11FDDD5C" w:rsidR="00EA41C6" w:rsidRPr="006161D6" w:rsidRDefault="00EA41C6" w:rsidP="006161D6">
          <w:pPr>
            <w:pStyle w:val="TOC1"/>
            <w:tabs>
              <w:tab w:val="left" w:pos="660"/>
              <w:tab w:val="right" w:leader="dot" w:pos="9016"/>
            </w:tabs>
            <w:spacing w:line="240" w:lineRule="auto"/>
            <w:rPr>
              <w:rFonts w:ascii="Times New Roman" w:hAnsi="Times New Roman" w:cs="Times New Roman"/>
              <w:noProof/>
              <w:sz w:val="24"/>
              <w:szCs w:val="24"/>
            </w:rPr>
          </w:pPr>
          <w:hyperlink w:anchor="_Toc138794304" w:history="1">
            <w:r w:rsidRPr="006161D6">
              <w:rPr>
                <w:rStyle w:val="Hyperlink"/>
                <w:rFonts w:ascii="Times New Roman" w:hAnsi="Times New Roman" w:cs="Times New Roman"/>
                <w:b/>
                <w:bCs/>
                <w:noProof/>
                <w:sz w:val="24"/>
                <w:szCs w:val="24"/>
                <w:lang w:val="en-US"/>
              </w:rPr>
              <w:t>1.4.</w:t>
            </w:r>
            <w:r w:rsidRPr="006161D6">
              <w:rPr>
                <w:rFonts w:ascii="Times New Roman" w:hAnsi="Times New Roman" w:cs="Times New Roman"/>
                <w:noProof/>
                <w:sz w:val="24"/>
                <w:szCs w:val="24"/>
              </w:rPr>
              <w:tab/>
            </w:r>
            <w:r w:rsidRPr="006161D6">
              <w:rPr>
                <w:rStyle w:val="Hyperlink"/>
                <w:rFonts w:ascii="Times New Roman" w:hAnsi="Times New Roman" w:cs="Times New Roman"/>
                <w:b/>
                <w:bCs/>
                <w:noProof/>
                <w:sz w:val="24"/>
                <w:szCs w:val="24"/>
                <w:lang w:val="en-US"/>
              </w:rPr>
              <w:t>New hire turnover rate</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_Toc138794304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3</w:t>
            </w:r>
            <w:r w:rsidRPr="006161D6">
              <w:rPr>
                <w:rFonts w:ascii="Times New Roman" w:hAnsi="Times New Roman" w:cs="Times New Roman"/>
                <w:noProof/>
                <w:webHidden/>
                <w:sz w:val="24"/>
                <w:szCs w:val="24"/>
              </w:rPr>
              <w:fldChar w:fldCharType="end"/>
            </w:r>
          </w:hyperlink>
        </w:p>
        <w:p w14:paraId="7D1C134D" w14:textId="4418A645" w:rsidR="00EA41C6" w:rsidRPr="006161D6" w:rsidRDefault="00EA41C6" w:rsidP="006161D6">
          <w:pPr>
            <w:pStyle w:val="TOC1"/>
            <w:tabs>
              <w:tab w:val="left" w:pos="660"/>
              <w:tab w:val="right" w:leader="dot" w:pos="9016"/>
            </w:tabs>
            <w:spacing w:line="240" w:lineRule="auto"/>
            <w:rPr>
              <w:rFonts w:ascii="Times New Roman" w:hAnsi="Times New Roman" w:cs="Times New Roman"/>
              <w:noProof/>
              <w:sz w:val="24"/>
              <w:szCs w:val="24"/>
            </w:rPr>
          </w:pPr>
          <w:hyperlink w:anchor="_Toc138794305" w:history="1">
            <w:r w:rsidRPr="006161D6">
              <w:rPr>
                <w:rStyle w:val="Hyperlink"/>
                <w:rFonts w:ascii="Times New Roman" w:hAnsi="Times New Roman" w:cs="Times New Roman"/>
                <w:b/>
                <w:bCs/>
                <w:noProof/>
                <w:sz w:val="24"/>
                <w:szCs w:val="24"/>
                <w:lang w:val="en-US"/>
              </w:rPr>
              <w:t>1.5.</w:t>
            </w:r>
            <w:r w:rsidRPr="006161D6">
              <w:rPr>
                <w:rFonts w:ascii="Times New Roman" w:hAnsi="Times New Roman" w:cs="Times New Roman"/>
                <w:noProof/>
                <w:sz w:val="24"/>
                <w:szCs w:val="24"/>
              </w:rPr>
              <w:tab/>
            </w:r>
            <w:r w:rsidRPr="006161D6">
              <w:rPr>
                <w:rStyle w:val="Hyperlink"/>
                <w:rFonts w:ascii="Times New Roman" w:hAnsi="Times New Roman" w:cs="Times New Roman"/>
                <w:b/>
                <w:bCs/>
                <w:noProof/>
                <w:sz w:val="24"/>
                <w:szCs w:val="24"/>
                <w:lang w:val="en-US"/>
              </w:rPr>
              <w:t>Days of position vacancy</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_Toc138794305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3</w:t>
            </w:r>
            <w:r w:rsidRPr="006161D6">
              <w:rPr>
                <w:rFonts w:ascii="Times New Roman" w:hAnsi="Times New Roman" w:cs="Times New Roman"/>
                <w:noProof/>
                <w:webHidden/>
                <w:sz w:val="24"/>
                <w:szCs w:val="24"/>
              </w:rPr>
              <w:fldChar w:fldCharType="end"/>
            </w:r>
          </w:hyperlink>
        </w:p>
        <w:p w14:paraId="391D59CC" w14:textId="258194F8" w:rsidR="00EA41C6" w:rsidRPr="006161D6" w:rsidRDefault="00EA41C6" w:rsidP="006161D6">
          <w:pPr>
            <w:pStyle w:val="TOC1"/>
            <w:tabs>
              <w:tab w:val="right" w:leader="dot" w:pos="9016"/>
            </w:tabs>
            <w:spacing w:line="240" w:lineRule="auto"/>
            <w:rPr>
              <w:rFonts w:ascii="Times New Roman" w:hAnsi="Times New Roman" w:cs="Times New Roman"/>
              <w:noProof/>
              <w:sz w:val="24"/>
              <w:szCs w:val="24"/>
            </w:rPr>
          </w:pPr>
          <w:hyperlink w:anchor="_Toc138794306" w:history="1">
            <w:r w:rsidRPr="006161D6">
              <w:rPr>
                <w:rStyle w:val="Hyperlink"/>
                <w:rFonts w:ascii="Times New Roman" w:hAnsi="Times New Roman" w:cs="Times New Roman"/>
                <w:b/>
                <w:bCs/>
                <w:noProof/>
                <w:sz w:val="24"/>
                <w:szCs w:val="24"/>
                <w:lang w:val="en-US"/>
              </w:rPr>
              <w:t>References</w:t>
            </w:r>
            <w:r w:rsidRPr="006161D6">
              <w:rPr>
                <w:rFonts w:ascii="Times New Roman" w:hAnsi="Times New Roman" w:cs="Times New Roman"/>
                <w:noProof/>
                <w:webHidden/>
                <w:sz w:val="24"/>
                <w:szCs w:val="24"/>
              </w:rPr>
              <w:tab/>
            </w:r>
            <w:r w:rsidRPr="006161D6">
              <w:rPr>
                <w:rFonts w:ascii="Times New Roman" w:hAnsi="Times New Roman" w:cs="Times New Roman"/>
                <w:noProof/>
                <w:webHidden/>
                <w:sz w:val="24"/>
                <w:szCs w:val="24"/>
              </w:rPr>
              <w:fldChar w:fldCharType="begin"/>
            </w:r>
            <w:r w:rsidRPr="006161D6">
              <w:rPr>
                <w:rFonts w:ascii="Times New Roman" w:hAnsi="Times New Roman" w:cs="Times New Roman"/>
                <w:noProof/>
                <w:webHidden/>
                <w:sz w:val="24"/>
                <w:szCs w:val="24"/>
              </w:rPr>
              <w:instrText xml:space="preserve"> PAGEREF _Toc138794306 \h </w:instrText>
            </w:r>
            <w:r w:rsidRPr="006161D6">
              <w:rPr>
                <w:rFonts w:ascii="Times New Roman" w:hAnsi="Times New Roman" w:cs="Times New Roman"/>
                <w:noProof/>
                <w:webHidden/>
                <w:sz w:val="24"/>
                <w:szCs w:val="24"/>
              </w:rPr>
            </w:r>
            <w:r w:rsidRPr="006161D6">
              <w:rPr>
                <w:rFonts w:ascii="Times New Roman" w:hAnsi="Times New Roman" w:cs="Times New Roman"/>
                <w:noProof/>
                <w:webHidden/>
                <w:sz w:val="24"/>
                <w:szCs w:val="24"/>
              </w:rPr>
              <w:fldChar w:fldCharType="separate"/>
            </w:r>
            <w:r w:rsidRPr="006161D6">
              <w:rPr>
                <w:rFonts w:ascii="Times New Roman" w:hAnsi="Times New Roman" w:cs="Times New Roman"/>
                <w:noProof/>
                <w:webHidden/>
                <w:sz w:val="24"/>
                <w:szCs w:val="24"/>
              </w:rPr>
              <w:t>4</w:t>
            </w:r>
            <w:r w:rsidRPr="006161D6">
              <w:rPr>
                <w:rFonts w:ascii="Times New Roman" w:hAnsi="Times New Roman" w:cs="Times New Roman"/>
                <w:noProof/>
                <w:webHidden/>
                <w:sz w:val="24"/>
                <w:szCs w:val="24"/>
              </w:rPr>
              <w:fldChar w:fldCharType="end"/>
            </w:r>
          </w:hyperlink>
        </w:p>
        <w:p w14:paraId="244A104F" w14:textId="773CBA4B" w:rsidR="00EA41C6" w:rsidRDefault="00EA41C6" w:rsidP="006161D6">
          <w:pPr>
            <w:spacing w:line="240" w:lineRule="auto"/>
          </w:pPr>
          <w:r w:rsidRPr="006161D6">
            <w:rPr>
              <w:rFonts w:ascii="Times New Roman" w:hAnsi="Times New Roman" w:cs="Times New Roman"/>
              <w:b/>
              <w:bCs/>
              <w:noProof/>
              <w:sz w:val="24"/>
              <w:szCs w:val="24"/>
            </w:rPr>
            <w:fldChar w:fldCharType="end"/>
          </w:r>
        </w:p>
      </w:sdtContent>
    </w:sdt>
    <w:p w14:paraId="525BF950" w14:textId="2D786348" w:rsidR="00EA41C6" w:rsidRDefault="00FA44F4" w:rsidP="00FA44F4">
      <w:r>
        <w:br w:type="page"/>
      </w:r>
    </w:p>
    <w:p w14:paraId="0C69E32A" w14:textId="0ADA5C1C" w:rsidR="00D928F5" w:rsidRPr="006274E3" w:rsidRDefault="00D928F5" w:rsidP="00717291">
      <w:pPr>
        <w:pStyle w:val="Heading1"/>
        <w:numPr>
          <w:ilvl w:val="0"/>
          <w:numId w:val="1"/>
        </w:numPr>
        <w:spacing w:line="360" w:lineRule="auto"/>
        <w:rPr>
          <w:rFonts w:ascii="Times New Roman" w:hAnsi="Times New Roman" w:cs="Times New Roman"/>
          <w:b/>
          <w:bCs/>
          <w:color w:val="000000" w:themeColor="text1"/>
          <w:sz w:val="24"/>
          <w:szCs w:val="24"/>
          <w:lang w:val="en-US"/>
        </w:rPr>
      </w:pPr>
      <w:bookmarkStart w:id="0" w:name="_Toc138794300"/>
      <w:r w:rsidRPr="006274E3">
        <w:rPr>
          <w:rFonts w:ascii="Times New Roman" w:hAnsi="Times New Roman" w:cs="Times New Roman"/>
          <w:b/>
          <w:bCs/>
          <w:color w:val="000000" w:themeColor="text1"/>
          <w:sz w:val="24"/>
          <w:szCs w:val="24"/>
          <w:lang w:val="en-US"/>
        </w:rPr>
        <w:lastRenderedPageBreak/>
        <w:t>Introduction</w:t>
      </w:r>
      <w:bookmarkEnd w:id="0"/>
    </w:p>
    <w:p w14:paraId="0DAB25E2" w14:textId="1EFEA3BF" w:rsidR="00D928F5" w:rsidRPr="006274E3" w:rsidRDefault="009D690C"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 xml:space="preserve">Businesses, now a days, are in the race of sustainability and persistent competition </w:t>
      </w:r>
      <w:proofErr w:type="gramStart"/>
      <w:r w:rsidRPr="006274E3">
        <w:rPr>
          <w:rFonts w:ascii="Times New Roman" w:hAnsi="Times New Roman" w:cs="Times New Roman"/>
          <w:sz w:val="24"/>
          <w:szCs w:val="24"/>
          <w:lang w:val="en-US"/>
        </w:rPr>
        <w:t>where</w:t>
      </w:r>
      <w:proofErr w:type="gramEnd"/>
      <w:r w:rsidRPr="006274E3">
        <w:rPr>
          <w:rFonts w:ascii="Times New Roman" w:hAnsi="Times New Roman" w:cs="Times New Roman"/>
          <w:sz w:val="24"/>
          <w:szCs w:val="24"/>
          <w:lang w:val="en-US"/>
        </w:rPr>
        <w:t xml:space="preserve"> acquiring the right talent and retaining it is one of the most critical aspects for organizational success. People analytics is the emerging yet one of the highly adopted interventions that the HR managers employ in order to determine the people-oriented stability of an organization</w:t>
      </w:r>
      <w:r w:rsidR="00925609" w:rsidRPr="006274E3">
        <w:rPr>
          <w:rFonts w:ascii="Times New Roman" w:hAnsi="Times New Roman" w:cs="Times New Roman"/>
          <w:color w:val="222222"/>
          <w:sz w:val="24"/>
          <w:szCs w:val="24"/>
          <w:shd w:val="clear" w:color="auto" w:fill="FFFFFF"/>
        </w:rPr>
        <w:t xml:space="preserve"> </w:t>
      </w:r>
      <w:r w:rsidR="00925609" w:rsidRPr="006274E3">
        <w:rPr>
          <w:rFonts w:ascii="Times New Roman" w:hAnsi="Times New Roman" w:cs="Times New Roman"/>
          <w:color w:val="222222"/>
          <w:sz w:val="24"/>
          <w:szCs w:val="24"/>
          <w:shd w:val="clear" w:color="auto" w:fill="FFFFFF"/>
          <w:lang w:val="en-US"/>
        </w:rPr>
        <w:t>(</w:t>
      </w:r>
      <w:r w:rsidR="00925609" w:rsidRPr="006274E3">
        <w:rPr>
          <w:rFonts w:ascii="Times New Roman" w:hAnsi="Times New Roman" w:cs="Times New Roman"/>
          <w:color w:val="222222"/>
          <w:sz w:val="24"/>
          <w:szCs w:val="24"/>
          <w:shd w:val="clear" w:color="auto" w:fill="FFFFFF"/>
        </w:rPr>
        <w:t>Albrecht</w:t>
      </w:r>
      <w:r w:rsidR="00925609" w:rsidRPr="006274E3">
        <w:rPr>
          <w:rFonts w:ascii="Times New Roman" w:hAnsi="Times New Roman" w:cs="Times New Roman"/>
          <w:color w:val="222222"/>
          <w:sz w:val="24"/>
          <w:szCs w:val="24"/>
          <w:shd w:val="clear" w:color="auto" w:fill="FFFFFF"/>
          <w:lang w:val="en-US"/>
        </w:rPr>
        <w:t xml:space="preserve"> et al., 2016)</w:t>
      </w:r>
      <w:r w:rsidRPr="006274E3">
        <w:rPr>
          <w:rFonts w:ascii="Times New Roman" w:hAnsi="Times New Roman" w:cs="Times New Roman"/>
          <w:sz w:val="24"/>
          <w:szCs w:val="24"/>
          <w:lang w:val="en-US"/>
        </w:rPr>
        <w:t>. The organizations either conduct an internal survey or hire the professional experts to collect and analyze different data metrics collected about the employees which further guides them towards making improved and the most appropriate employee-related decisions</w:t>
      </w:r>
      <w:r w:rsidR="002C232A" w:rsidRPr="006274E3">
        <w:rPr>
          <w:rFonts w:ascii="Times New Roman" w:hAnsi="Times New Roman" w:cs="Times New Roman"/>
          <w:sz w:val="24"/>
          <w:szCs w:val="24"/>
          <w:lang w:val="en-US"/>
        </w:rPr>
        <w:t xml:space="preserve"> (Khan &amp; Millner, 2023)</w:t>
      </w:r>
      <w:r w:rsidRPr="006274E3">
        <w:rPr>
          <w:rFonts w:ascii="Times New Roman" w:hAnsi="Times New Roman" w:cs="Times New Roman"/>
          <w:sz w:val="24"/>
          <w:szCs w:val="24"/>
          <w:lang w:val="en-US"/>
        </w:rPr>
        <w:t xml:space="preserve">. </w:t>
      </w:r>
      <w:r w:rsidR="00850912" w:rsidRPr="006274E3">
        <w:rPr>
          <w:rFonts w:ascii="Times New Roman" w:hAnsi="Times New Roman" w:cs="Times New Roman"/>
          <w:sz w:val="24"/>
          <w:szCs w:val="24"/>
          <w:lang w:val="en-US"/>
        </w:rPr>
        <w:t>A plethora of metrics is generally employed by the HR leads which extracts numerous values and determinants from the performance cards and previous survey results that capacitate them to design an effective business strategy with a specific focus on people-orientation</w:t>
      </w:r>
      <w:r w:rsidR="007B7187" w:rsidRPr="006274E3">
        <w:rPr>
          <w:rFonts w:ascii="Times New Roman" w:hAnsi="Times New Roman" w:cs="Times New Roman"/>
          <w:sz w:val="24"/>
          <w:szCs w:val="24"/>
          <w:lang w:val="en-US"/>
        </w:rPr>
        <w:t xml:space="preserve"> (Carlson &amp; </w:t>
      </w:r>
      <w:proofErr w:type="spellStart"/>
      <w:r w:rsidR="007B7187" w:rsidRPr="006274E3">
        <w:rPr>
          <w:rFonts w:ascii="Times New Roman" w:hAnsi="Times New Roman" w:cs="Times New Roman"/>
          <w:sz w:val="24"/>
          <w:szCs w:val="24"/>
          <w:lang w:val="en-US"/>
        </w:rPr>
        <w:t>Kaghangh</w:t>
      </w:r>
      <w:proofErr w:type="spellEnd"/>
      <w:r w:rsidR="007B7187" w:rsidRPr="006274E3">
        <w:rPr>
          <w:rFonts w:ascii="Times New Roman" w:hAnsi="Times New Roman" w:cs="Times New Roman"/>
          <w:sz w:val="24"/>
          <w:szCs w:val="24"/>
          <w:lang w:val="en-US"/>
        </w:rPr>
        <w:t>, 2011)</w:t>
      </w:r>
      <w:r w:rsidR="00850912" w:rsidRPr="006274E3">
        <w:rPr>
          <w:rFonts w:ascii="Times New Roman" w:hAnsi="Times New Roman" w:cs="Times New Roman"/>
          <w:sz w:val="24"/>
          <w:szCs w:val="24"/>
          <w:lang w:val="en-US"/>
        </w:rPr>
        <w:t>.</w:t>
      </w:r>
    </w:p>
    <w:p w14:paraId="737EAFDA" w14:textId="07798A21" w:rsidR="0034397C" w:rsidRPr="006274E3" w:rsidRDefault="0034397C"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 xml:space="preserve">This report presents an analytical view of different people metrics that were calculated based on the information provided by the HR lead of a software house followed by using these metrics to determines their impact on the organizational stability. </w:t>
      </w:r>
      <w:r w:rsidR="00FC663D" w:rsidRPr="006274E3">
        <w:rPr>
          <w:rFonts w:ascii="Times New Roman" w:hAnsi="Times New Roman" w:cs="Times New Roman"/>
          <w:sz w:val="24"/>
          <w:szCs w:val="24"/>
          <w:lang w:val="en-US"/>
        </w:rPr>
        <w:t xml:space="preserve">The selected metrics include diversity turnover, learning and growth opportunities, preventable turnover, new hire turnover and number of vacant days for a position. </w:t>
      </w:r>
    </w:p>
    <w:p w14:paraId="6D09DD4F" w14:textId="081A65AE" w:rsidR="00850912" w:rsidRPr="006274E3" w:rsidRDefault="00605A34" w:rsidP="00717291">
      <w:pPr>
        <w:pStyle w:val="Heading1"/>
        <w:numPr>
          <w:ilvl w:val="1"/>
          <w:numId w:val="1"/>
        </w:numPr>
        <w:spacing w:line="360" w:lineRule="auto"/>
        <w:rPr>
          <w:rFonts w:ascii="Times New Roman" w:hAnsi="Times New Roman" w:cs="Times New Roman"/>
          <w:b/>
          <w:bCs/>
          <w:color w:val="000000" w:themeColor="text1"/>
          <w:sz w:val="24"/>
          <w:szCs w:val="24"/>
          <w:lang w:val="en-US"/>
        </w:rPr>
      </w:pPr>
      <w:bookmarkStart w:id="1" w:name="_Toc138794301"/>
      <w:r w:rsidRPr="006274E3">
        <w:rPr>
          <w:rFonts w:ascii="Times New Roman" w:hAnsi="Times New Roman" w:cs="Times New Roman"/>
          <w:b/>
          <w:bCs/>
          <w:color w:val="000000" w:themeColor="text1"/>
          <w:sz w:val="24"/>
          <w:szCs w:val="24"/>
          <w:lang w:val="en-US"/>
        </w:rPr>
        <w:t>Diversity turnover</w:t>
      </w:r>
      <w:bookmarkEnd w:id="1"/>
    </w:p>
    <w:p w14:paraId="5694B20B" w14:textId="1B7588EF" w:rsidR="007943FA" w:rsidRPr="006274E3" w:rsidRDefault="00644BE8"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 xml:space="preserve">Diversity turnover </w:t>
      </w:r>
      <w:r w:rsidR="00074FA1" w:rsidRPr="006274E3">
        <w:rPr>
          <w:rFonts w:ascii="Times New Roman" w:hAnsi="Times New Roman" w:cs="Times New Roman"/>
          <w:sz w:val="24"/>
          <w:szCs w:val="24"/>
          <w:lang w:val="en-US"/>
        </w:rPr>
        <w:t>refers to the</w:t>
      </w:r>
      <w:r w:rsidRPr="006274E3">
        <w:rPr>
          <w:rFonts w:ascii="Times New Roman" w:hAnsi="Times New Roman" w:cs="Times New Roman"/>
          <w:sz w:val="24"/>
          <w:szCs w:val="24"/>
          <w:lang w:val="en-US"/>
        </w:rPr>
        <w:t xml:space="preserve"> percentage of number of employees </w:t>
      </w:r>
      <w:r w:rsidR="00074FA1" w:rsidRPr="006274E3">
        <w:rPr>
          <w:rFonts w:ascii="Times New Roman" w:hAnsi="Times New Roman" w:cs="Times New Roman"/>
          <w:sz w:val="24"/>
          <w:szCs w:val="24"/>
          <w:lang w:val="en-US"/>
        </w:rPr>
        <w:t xml:space="preserve">from different ethnic, religious or lingual backgrounds </w:t>
      </w:r>
      <w:r w:rsidRPr="006274E3">
        <w:rPr>
          <w:rFonts w:ascii="Times New Roman" w:hAnsi="Times New Roman" w:cs="Times New Roman"/>
          <w:sz w:val="24"/>
          <w:szCs w:val="24"/>
          <w:lang w:val="en-US"/>
        </w:rPr>
        <w:t xml:space="preserve">who left the organization for any reason including termination, resignation or layoff divided by the total number of </w:t>
      </w:r>
      <w:r w:rsidR="00074FA1" w:rsidRPr="006274E3">
        <w:rPr>
          <w:rFonts w:ascii="Times New Roman" w:hAnsi="Times New Roman" w:cs="Times New Roman"/>
          <w:sz w:val="24"/>
          <w:szCs w:val="24"/>
          <w:lang w:val="en-US"/>
        </w:rPr>
        <w:t xml:space="preserve">diverse </w:t>
      </w:r>
      <w:r w:rsidRPr="006274E3">
        <w:rPr>
          <w:rFonts w:ascii="Times New Roman" w:hAnsi="Times New Roman" w:cs="Times New Roman"/>
          <w:sz w:val="24"/>
          <w:szCs w:val="24"/>
          <w:lang w:val="en-US"/>
        </w:rPr>
        <w:t>employees of an organization, within a specific period of time</w:t>
      </w:r>
      <w:r w:rsidR="00717291">
        <w:rPr>
          <w:rFonts w:ascii="Times New Roman" w:hAnsi="Times New Roman" w:cs="Times New Roman"/>
          <w:sz w:val="24"/>
          <w:szCs w:val="24"/>
          <w:lang w:val="en-US"/>
        </w:rPr>
        <w:t xml:space="preserve"> (Khan &amp; Millner, 2023)</w:t>
      </w:r>
      <w:r w:rsidRPr="006274E3">
        <w:rPr>
          <w:rFonts w:ascii="Times New Roman" w:hAnsi="Times New Roman" w:cs="Times New Roman"/>
          <w:sz w:val="24"/>
          <w:szCs w:val="24"/>
          <w:lang w:val="en-US"/>
        </w:rPr>
        <w:t xml:space="preserve">. The time period for the calculation is generally recorded to be one year; however, the calculation of </w:t>
      </w:r>
      <w:r w:rsidR="00074FA1" w:rsidRPr="006274E3">
        <w:rPr>
          <w:rFonts w:ascii="Times New Roman" w:hAnsi="Times New Roman" w:cs="Times New Roman"/>
          <w:sz w:val="24"/>
          <w:szCs w:val="24"/>
          <w:lang w:val="en-US"/>
        </w:rPr>
        <w:t xml:space="preserve">diversity </w:t>
      </w:r>
      <w:r w:rsidRPr="006274E3">
        <w:rPr>
          <w:rFonts w:ascii="Times New Roman" w:hAnsi="Times New Roman" w:cs="Times New Roman"/>
          <w:sz w:val="24"/>
          <w:szCs w:val="24"/>
          <w:lang w:val="en-US"/>
        </w:rPr>
        <w:t xml:space="preserve">turnover rate may occur quarterly or after six months within the company for internal evaluations and strategic purposes. </w:t>
      </w:r>
    </w:p>
    <w:p w14:paraId="161F2F9D" w14:textId="6743F910" w:rsidR="00D928F5" w:rsidRPr="006274E3" w:rsidRDefault="00762FC2"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 xml:space="preserve">The selected company employed a total of 334 new employees including managerial, technical and administrative positions in the year 2022 recording the total number of employees to be 1781; however, in the beginning of 2023, the total number of employees is recorded to be 1545. Therefore, the number of terminated employee contracts was 236 and hence the turnover of the company was recorded to be 13%. </w:t>
      </w:r>
      <w:r w:rsidR="009177CB" w:rsidRPr="006274E3">
        <w:rPr>
          <w:rFonts w:ascii="Times New Roman" w:hAnsi="Times New Roman" w:cs="Times New Roman"/>
          <w:sz w:val="24"/>
          <w:szCs w:val="24"/>
          <w:lang w:val="en-US"/>
        </w:rPr>
        <w:t xml:space="preserve">However, among these 334 employees, 57 employees were either expatriates or had a different lingual or ethnic background; however, 10 employees from diverse </w:t>
      </w:r>
      <w:r w:rsidR="004A5524" w:rsidRPr="006274E3">
        <w:rPr>
          <w:rFonts w:ascii="Times New Roman" w:hAnsi="Times New Roman" w:cs="Times New Roman"/>
          <w:sz w:val="24"/>
          <w:szCs w:val="24"/>
          <w:lang w:val="en-US"/>
        </w:rPr>
        <w:t>backgrounds</w:t>
      </w:r>
      <w:r w:rsidR="009177CB" w:rsidRPr="006274E3">
        <w:rPr>
          <w:rFonts w:ascii="Times New Roman" w:hAnsi="Times New Roman" w:cs="Times New Roman"/>
          <w:sz w:val="24"/>
          <w:szCs w:val="24"/>
          <w:lang w:val="en-US"/>
        </w:rPr>
        <w:t xml:space="preserve"> left the organization, </w:t>
      </w:r>
      <w:r w:rsidR="009177CB" w:rsidRPr="006274E3">
        <w:rPr>
          <w:rFonts w:ascii="Times New Roman" w:hAnsi="Times New Roman" w:cs="Times New Roman"/>
          <w:sz w:val="24"/>
          <w:szCs w:val="24"/>
          <w:lang w:val="en-US"/>
        </w:rPr>
        <w:lastRenderedPageBreak/>
        <w:t>therefore, the diversity turnover was recorded to be 17%.</w:t>
      </w:r>
      <w:r w:rsidR="004A5524" w:rsidRPr="006274E3">
        <w:rPr>
          <w:rFonts w:ascii="Times New Roman" w:hAnsi="Times New Roman" w:cs="Times New Roman"/>
          <w:sz w:val="24"/>
          <w:szCs w:val="24"/>
          <w:lang w:val="en-US"/>
        </w:rPr>
        <w:t xml:space="preserve"> </w:t>
      </w:r>
      <w:r w:rsidR="001E1998" w:rsidRPr="006274E3">
        <w:rPr>
          <w:rFonts w:ascii="Times New Roman" w:hAnsi="Times New Roman" w:cs="Times New Roman"/>
          <w:sz w:val="24"/>
          <w:szCs w:val="24"/>
          <w:lang w:val="en-US"/>
        </w:rPr>
        <w:t xml:space="preserve">This is certainly a worrisome situation for the company considering both the total turnover and </w:t>
      </w:r>
      <w:proofErr w:type="gramStart"/>
      <w:r w:rsidR="001E1998" w:rsidRPr="006274E3">
        <w:rPr>
          <w:rFonts w:ascii="Times New Roman" w:hAnsi="Times New Roman" w:cs="Times New Roman"/>
          <w:sz w:val="24"/>
          <w:szCs w:val="24"/>
          <w:lang w:val="en-US"/>
        </w:rPr>
        <w:t>diversity</w:t>
      </w:r>
      <w:proofErr w:type="gramEnd"/>
      <w:r w:rsidR="001E1998" w:rsidRPr="006274E3">
        <w:rPr>
          <w:rFonts w:ascii="Times New Roman" w:hAnsi="Times New Roman" w:cs="Times New Roman"/>
          <w:sz w:val="24"/>
          <w:szCs w:val="24"/>
          <w:lang w:val="en-US"/>
        </w:rPr>
        <w:t xml:space="preserve"> turnover rate which means that the company needs to reevaluate her employee engagement and cultural assimilation st</w:t>
      </w:r>
      <w:r w:rsidR="00624E69" w:rsidRPr="006274E3">
        <w:rPr>
          <w:rFonts w:ascii="Times New Roman" w:hAnsi="Times New Roman" w:cs="Times New Roman"/>
          <w:sz w:val="24"/>
          <w:szCs w:val="24"/>
          <w:lang w:val="en-US"/>
        </w:rPr>
        <w:t>rategies.</w:t>
      </w:r>
    </w:p>
    <w:p w14:paraId="5D396E66" w14:textId="467799B9" w:rsidR="00A42A0D" w:rsidRPr="006274E3" w:rsidRDefault="00A42A0D" w:rsidP="00711EB3">
      <w:pPr>
        <w:pStyle w:val="Heading1"/>
        <w:numPr>
          <w:ilvl w:val="1"/>
          <w:numId w:val="1"/>
        </w:numPr>
        <w:spacing w:line="360" w:lineRule="auto"/>
        <w:rPr>
          <w:rFonts w:ascii="Times New Roman" w:hAnsi="Times New Roman" w:cs="Times New Roman"/>
          <w:b/>
          <w:bCs/>
          <w:color w:val="000000" w:themeColor="text1"/>
          <w:sz w:val="24"/>
          <w:szCs w:val="24"/>
          <w:lang w:val="en-US"/>
        </w:rPr>
      </w:pPr>
      <w:bookmarkStart w:id="2" w:name="_Toc138794302"/>
      <w:r w:rsidRPr="006274E3">
        <w:rPr>
          <w:rFonts w:ascii="Times New Roman" w:hAnsi="Times New Roman" w:cs="Times New Roman"/>
          <w:b/>
          <w:bCs/>
          <w:color w:val="000000" w:themeColor="text1"/>
          <w:sz w:val="24"/>
          <w:szCs w:val="24"/>
          <w:lang w:val="en-US"/>
        </w:rPr>
        <w:t>Learning and growth opportunities</w:t>
      </w:r>
      <w:bookmarkEnd w:id="2"/>
    </w:p>
    <w:p w14:paraId="0C93EA5D" w14:textId="7B5AD1B2" w:rsidR="00A42A0D" w:rsidRPr="006274E3" w:rsidRDefault="00EB2C96"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In order to understand the satisfaction level of employees within the company analyzed through the  lens of learning and growth opportunities available for them. The company’s internal survey results were evaluated highlight</w:t>
      </w:r>
      <w:r w:rsidR="0001093C" w:rsidRPr="006274E3">
        <w:rPr>
          <w:rFonts w:ascii="Times New Roman" w:hAnsi="Times New Roman" w:cs="Times New Roman"/>
          <w:sz w:val="24"/>
          <w:szCs w:val="24"/>
          <w:lang w:val="en-US"/>
        </w:rPr>
        <w:t>ing</w:t>
      </w:r>
      <w:r w:rsidRPr="006274E3">
        <w:rPr>
          <w:rFonts w:ascii="Times New Roman" w:hAnsi="Times New Roman" w:cs="Times New Roman"/>
          <w:sz w:val="24"/>
          <w:szCs w:val="24"/>
          <w:lang w:val="en-US"/>
        </w:rPr>
        <w:t xml:space="preserve"> interesting information about the company. According to the latest internal survey, approximately 65% employees are satisfied with the career advancement and learning opportunities provided to them by the company, most of which are Pakistani female employees within the age group of 25 years to 50 years. However, the results of company’s internal survey also highlighted the high inclination of male employees on managerial positions towards looking for new opportunities with an age range from 35 to 50 and above. </w:t>
      </w:r>
      <w:r w:rsidR="00970898" w:rsidRPr="006274E3">
        <w:rPr>
          <w:rFonts w:ascii="Times New Roman" w:hAnsi="Times New Roman" w:cs="Times New Roman"/>
          <w:sz w:val="24"/>
          <w:szCs w:val="24"/>
          <w:lang w:val="en-US"/>
        </w:rPr>
        <w:t xml:space="preserve">These findings clearly reveal that the company provides satisfactory learning and growth opportunities to the new joiners or mid-career professionals where the high retention of females is due to the benefits provided to them in the form of maternal leaves and inhouse child care. On the contrary, the male mid-career and senior professionals have a considerably less satisfaction level with the growth and learning opportunities and hence have a high turnover rate.  </w:t>
      </w:r>
    </w:p>
    <w:p w14:paraId="7BC325DE" w14:textId="0027B642" w:rsidR="001F09AE" w:rsidRPr="006274E3" w:rsidRDefault="001F09AE" w:rsidP="00652390">
      <w:pPr>
        <w:pStyle w:val="Heading1"/>
        <w:numPr>
          <w:ilvl w:val="1"/>
          <w:numId w:val="1"/>
        </w:numPr>
        <w:spacing w:line="360" w:lineRule="auto"/>
        <w:rPr>
          <w:rFonts w:ascii="Times New Roman" w:hAnsi="Times New Roman" w:cs="Times New Roman"/>
          <w:b/>
          <w:bCs/>
          <w:color w:val="000000" w:themeColor="text1"/>
          <w:sz w:val="24"/>
          <w:szCs w:val="24"/>
          <w:lang w:val="en-US"/>
        </w:rPr>
      </w:pPr>
      <w:bookmarkStart w:id="3" w:name="_Toc138794303"/>
      <w:r w:rsidRPr="006274E3">
        <w:rPr>
          <w:rFonts w:ascii="Times New Roman" w:hAnsi="Times New Roman" w:cs="Times New Roman"/>
          <w:b/>
          <w:bCs/>
          <w:color w:val="000000" w:themeColor="text1"/>
          <w:sz w:val="24"/>
          <w:szCs w:val="24"/>
          <w:lang w:val="en-US"/>
        </w:rPr>
        <w:t>Preventable turnover</w:t>
      </w:r>
      <w:bookmarkEnd w:id="3"/>
    </w:p>
    <w:p w14:paraId="15073DB8" w14:textId="61FBA2EB" w:rsidR="001F09AE" w:rsidRPr="006274E3" w:rsidRDefault="001F09AE"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Preventable turnover refers to the notion of understanding the reasons for employees to leave the company and hence making strategic decisions accordingly in order to retain them</w:t>
      </w:r>
      <w:r w:rsidR="00436E3B" w:rsidRPr="006274E3">
        <w:rPr>
          <w:rFonts w:ascii="Times New Roman" w:hAnsi="Times New Roman" w:cs="Times New Roman"/>
          <w:sz w:val="24"/>
          <w:szCs w:val="24"/>
          <w:lang w:val="en-US"/>
        </w:rPr>
        <w:t xml:space="preserve"> (</w:t>
      </w:r>
      <w:proofErr w:type="spellStart"/>
      <w:r w:rsidR="00436E3B" w:rsidRPr="006274E3">
        <w:rPr>
          <w:rFonts w:ascii="Times New Roman" w:hAnsi="Times New Roman" w:cs="Times New Roman"/>
          <w:sz w:val="24"/>
          <w:szCs w:val="24"/>
          <w:lang w:val="en-US"/>
        </w:rPr>
        <w:t>Dulbohn</w:t>
      </w:r>
      <w:proofErr w:type="spellEnd"/>
      <w:r w:rsidR="00436E3B" w:rsidRPr="006274E3">
        <w:rPr>
          <w:rFonts w:ascii="Times New Roman" w:hAnsi="Times New Roman" w:cs="Times New Roman"/>
          <w:sz w:val="24"/>
          <w:szCs w:val="24"/>
          <w:lang w:val="en-US"/>
        </w:rPr>
        <w:t xml:space="preserve"> &amp; Johnson, 2013)</w:t>
      </w:r>
      <w:r w:rsidRPr="006274E3">
        <w:rPr>
          <w:rFonts w:ascii="Times New Roman" w:hAnsi="Times New Roman" w:cs="Times New Roman"/>
          <w:sz w:val="24"/>
          <w:szCs w:val="24"/>
          <w:lang w:val="en-US"/>
        </w:rPr>
        <w:t xml:space="preserve">. In the selected company, </w:t>
      </w:r>
      <w:proofErr w:type="gramStart"/>
      <w:r w:rsidRPr="006274E3">
        <w:rPr>
          <w:rFonts w:ascii="Times New Roman" w:hAnsi="Times New Roman" w:cs="Times New Roman"/>
          <w:sz w:val="24"/>
          <w:szCs w:val="24"/>
          <w:lang w:val="en-US"/>
        </w:rPr>
        <w:t>majority</w:t>
      </w:r>
      <w:proofErr w:type="gramEnd"/>
      <w:r w:rsidRPr="006274E3">
        <w:rPr>
          <w:rFonts w:ascii="Times New Roman" w:hAnsi="Times New Roman" w:cs="Times New Roman"/>
          <w:sz w:val="24"/>
          <w:szCs w:val="24"/>
          <w:lang w:val="en-US"/>
        </w:rPr>
        <w:t xml:space="preserve"> of the employees at their exit interviews has mentioned about career advancement as a key reason for their resignation, the percentage of which was recorded to be 37% in 2022 as per the company’s internal reports. Besides that, 20% </w:t>
      </w:r>
      <w:proofErr w:type="gramStart"/>
      <w:r w:rsidRPr="006274E3">
        <w:rPr>
          <w:rFonts w:ascii="Times New Roman" w:hAnsi="Times New Roman" w:cs="Times New Roman"/>
          <w:sz w:val="24"/>
          <w:szCs w:val="24"/>
          <w:lang w:val="en-US"/>
        </w:rPr>
        <w:t>employees</w:t>
      </w:r>
      <w:proofErr w:type="gramEnd"/>
      <w:r w:rsidRPr="006274E3">
        <w:rPr>
          <w:rFonts w:ascii="Times New Roman" w:hAnsi="Times New Roman" w:cs="Times New Roman"/>
          <w:sz w:val="24"/>
          <w:szCs w:val="24"/>
          <w:lang w:val="en-US"/>
        </w:rPr>
        <w:t xml:space="preserve"> mentioned about the market competitive package whereas the remaining number of employees recorded miscellaneous reasons. </w:t>
      </w:r>
      <w:r w:rsidR="00FC4066" w:rsidRPr="006274E3">
        <w:rPr>
          <w:rFonts w:ascii="Times New Roman" w:hAnsi="Times New Roman" w:cs="Times New Roman"/>
          <w:sz w:val="24"/>
          <w:szCs w:val="24"/>
          <w:lang w:val="en-US"/>
        </w:rPr>
        <w:t>The considerable high percentage of employee’s turnover due to lack of career advancement opportunities and competitive package is certainly a preventable construct, where the company can re-consider her existing performance evaluation mechanism and devise a new strategy for promotions and salary revisions or additional benefits</w:t>
      </w:r>
      <w:r w:rsidR="00925609" w:rsidRPr="006274E3">
        <w:rPr>
          <w:rFonts w:ascii="Times New Roman" w:hAnsi="Times New Roman" w:cs="Times New Roman"/>
          <w:sz w:val="24"/>
          <w:szCs w:val="24"/>
          <w:lang w:val="en-US"/>
        </w:rPr>
        <w:t xml:space="preserve"> (Armstrong and Taylor, 2020)</w:t>
      </w:r>
      <w:r w:rsidR="00FC4066" w:rsidRPr="006274E3">
        <w:rPr>
          <w:rFonts w:ascii="Times New Roman" w:hAnsi="Times New Roman" w:cs="Times New Roman"/>
          <w:sz w:val="24"/>
          <w:szCs w:val="24"/>
          <w:lang w:val="en-US"/>
        </w:rPr>
        <w:t xml:space="preserve">. </w:t>
      </w:r>
    </w:p>
    <w:p w14:paraId="6E6F488A" w14:textId="076F7B72" w:rsidR="00AA5457" w:rsidRPr="006274E3" w:rsidRDefault="00AA5457" w:rsidP="00E84164">
      <w:pPr>
        <w:pStyle w:val="Heading1"/>
        <w:numPr>
          <w:ilvl w:val="1"/>
          <w:numId w:val="1"/>
        </w:numPr>
        <w:spacing w:line="360" w:lineRule="auto"/>
        <w:rPr>
          <w:rFonts w:ascii="Times New Roman" w:hAnsi="Times New Roman" w:cs="Times New Roman"/>
          <w:b/>
          <w:bCs/>
          <w:color w:val="000000" w:themeColor="text1"/>
          <w:sz w:val="24"/>
          <w:szCs w:val="24"/>
          <w:lang w:val="en-US"/>
        </w:rPr>
      </w:pPr>
      <w:bookmarkStart w:id="4" w:name="_Toc138794304"/>
      <w:r w:rsidRPr="006274E3">
        <w:rPr>
          <w:rFonts w:ascii="Times New Roman" w:hAnsi="Times New Roman" w:cs="Times New Roman"/>
          <w:b/>
          <w:bCs/>
          <w:color w:val="000000" w:themeColor="text1"/>
          <w:sz w:val="24"/>
          <w:szCs w:val="24"/>
          <w:lang w:val="en-US"/>
        </w:rPr>
        <w:lastRenderedPageBreak/>
        <w:t>New hire turnover rate</w:t>
      </w:r>
      <w:bookmarkEnd w:id="4"/>
    </w:p>
    <w:p w14:paraId="3CF78E88" w14:textId="0A44887E" w:rsidR="003F2A0E" w:rsidRPr="006274E3" w:rsidRDefault="00FC4A7F"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The turnover of new hires refers to the percentage of the newly hired employees who left the company as compared to the number of total new hires at the beginning of a specific time period</w:t>
      </w:r>
      <w:r w:rsidR="007C1C0C" w:rsidRPr="006274E3">
        <w:rPr>
          <w:rFonts w:ascii="Times New Roman" w:hAnsi="Times New Roman" w:cs="Times New Roman"/>
          <w:sz w:val="24"/>
          <w:szCs w:val="24"/>
          <w:lang w:val="en-US"/>
        </w:rPr>
        <w:t xml:space="preserve"> (Khan &amp; Millner, 2023)</w:t>
      </w:r>
      <w:r w:rsidRPr="006274E3">
        <w:rPr>
          <w:rFonts w:ascii="Times New Roman" w:hAnsi="Times New Roman" w:cs="Times New Roman"/>
          <w:sz w:val="24"/>
          <w:szCs w:val="24"/>
          <w:lang w:val="en-US"/>
        </w:rPr>
        <w:t xml:space="preserve">. </w:t>
      </w:r>
      <w:r w:rsidR="00D72C0D" w:rsidRPr="006274E3">
        <w:rPr>
          <w:rFonts w:ascii="Times New Roman" w:hAnsi="Times New Roman" w:cs="Times New Roman"/>
          <w:sz w:val="24"/>
          <w:szCs w:val="24"/>
          <w:lang w:val="en-US"/>
        </w:rPr>
        <w:t xml:space="preserve">In the selected company, a total of 334 new employees were hired. The company recorded the termination of 236 contracts in total, amongst which 25 were new hires. Based on these statistics, the new hire turnover rate of the company is recorded by dividing 25 new hires by 334 total new hires in the year 2022 which is 7%. </w:t>
      </w:r>
      <w:r w:rsidR="00B91062" w:rsidRPr="006274E3">
        <w:rPr>
          <w:rFonts w:ascii="Times New Roman" w:hAnsi="Times New Roman" w:cs="Times New Roman"/>
          <w:sz w:val="24"/>
          <w:szCs w:val="24"/>
          <w:lang w:val="en-US"/>
        </w:rPr>
        <w:t xml:space="preserve">This percentage is not significantly high for the new hires; however, can be prevented if the company focuses on conducting research about the reasons for the new hires to leave the organization. The company can also devise a new hire cultural assimilation program as a strategy to improve their retention and satisfaction in the organization. </w:t>
      </w:r>
    </w:p>
    <w:p w14:paraId="34C849BB" w14:textId="42249E56" w:rsidR="00485DE9" w:rsidRPr="006274E3" w:rsidRDefault="00485DE9" w:rsidP="007C553A">
      <w:pPr>
        <w:pStyle w:val="Heading1"/>
        <w:numPr>
          <w:ilvl w:val="1"/>
          <w:numId w:val="1"/>
        </w:numPr>
        <w:spacing w:line="360" w:lineRule="auto"/>
        <w:rPr>
          <w:rFonts w:ascii="Times New Roman" w:hAnsi="Times New Roman" w:cs="Times New Roman"/>
          <w:b/>
          <w:bCs/>
          <w:color w:val="000000" w:themeColor="text1"/>
          <w:sz w:val="24"/>
          <w:szCs w:val="24"/>
          <w:lang w:val="en-US"/>
        </w:rPr>
      </w:pPr>
      <w:bookmarkStart w:id="5" w:name="_Toc138794305"/>
      <w:r w:rsidRPr="006274E3">
        <w:rPr>
          <w:rFonts w:ascii="Times New Roman" w:hAnsi="Times New Roman" w:cs="Times New Roman"/>
          <w:b/>
          <w:bCs/>
          <w:color w:val="000000" w:themeColor="text1"/>
          <w:sz w:val="24"/>
          <w:szCs w:val="24"/>
          <w:lang w:val="en-US"/>
        </w:rPr>
        <w:t>Days of position vacancy</w:t>
      </w:r>
      <w:bookmarkEnd w:id="5"/>
    </w:p>
    <w:p w14:paraId="4232C1BD" w14:textId="084A3AD4" w:rsidR="00582C48" w:rsidRPr="006274E3" w:rsidRDefault="00636A38" w:rsidP="006274E3">
      <w:pPr>
        <w:spacing w:line="360" w:lineRule="auto"/>
        <w:jc w:val="both"/>
        <w:rPr>
          <w:rFonts w:ascii="Times New Roman" w:hAnsi="Times New Roman" w:cs="Times New Roman"/>
          <w:sz w:val="24"/>
          <w:szCs w:val="24"/>
          <w:lang w:val="en-US"/>
        </w:rPr>
      </w:pPr>
      <w:r w:rsidRPr="006274E3">
        <w:rPr>
          <w:rFonts w:ascii="Times New Roman" w:hAnsi="Times New Roman" w:cs="Times New Roman"/>
          <w:sz w:val="24"/>
          <w:szCs w:val="24"/>
          <w:lang w:val="en-US"/>
        </w:rPr>
        <w:t xml:space="preserve">The average number of days that a position remained vacant in the company was 30 days for the senior level project management and data science related opportunities. For the beginner level positions, the average number of days for vacancy </w:t>
      </w:r>
      <w:proofErr w:type="gramStart"/>
      <w:r w:rsidRPr="006274E3">
        <w:rPr>
          <w:rFonts w:ascii="Times New Roman" w:hAnsi="Times New Roman" w:cs="Times New Roman"/>
          <w:sz w:val="24"/>
          <w:szCs w:val="24"/>
          <w:lang w:val="en-US"/>
        </w:rPr>
        <w:t>were</w:t>
      </w:r>
      <w:proofErr w:type="gramEnd"/>
      <w:r w:rsidRPr="006274E3">
        <w:rPr>
          <w:rFonts w:ascii="Times New Roman" w:hAnsi="Times New Roman" w:cs="Times New Roman"/>
          <w:sz w:val="24"/>
          <w:szCs w:val="24"/>
          <w:lang w:val="en-US"/>
        </w:rPr>
        <w:t xml:space="preserve"> recorded to be 7-10 days.</w:t>
      </w:r>
      <w:r w:rsidR="00F27478" w:rsidRPr="006274E3">
        <w:rPr>
          <w:rFonts w:ascii="Times New Roman" w:hAnsi="Times New Roman" w:cs="Times New Roman"/>
          <w:sz w:val="24"/>
          <w:szCs w:val="24"/>
          <w:lang w:val="en-US"/>
        </w:rPr>
        <w:t xml:space="preserve"> The selected company employees a huge team of HR professionals. Therefore, the company can consider shrinking the average number of days for the vacant position at the senior level by involving more recruitment professionals into the process. The company may also employ head hunting approach which capacitates the recruitment managers to get in direct contact with the senior level professionals through any of the social network platforms, discuss the opportunity and pace up the process of interviews and hiring skipping the initial screening and telephonic conversation. </w:t>
      </w:r>
      <w:r w:rsidR="00F32A16" w:rsidRPr="006274E3">
        <w:rPr>
          <w:rFonts w:ascii="Times New Roman" w:hAnsi="Times New Roman" w:cs="Times New Roman"/>
          <w:sz w:val="24"/>
          <w:szCs w:val="24"/>
          <w:lang w:val="en-US"/>
        </w:rPr>
        <w:t xml:space="preserve">Currently, the selected company is already struggling to retain the senior level professionals; therefore, apart from reducing the hiring time, the company’s management need to focus on devising a more integrated and career-oriented strategy to retain the senior employees. </w:t>
      </w:r>
      <w:r w:rsidR="00F27478" w:rsidRPr="006274E3">
        <w:rPr>
          <w:rFonts w:ascii="Times New Roman" w:hAnsi="Times New Roman" w:cs="Times New Roman"/>
          <w:sz w:val="24"/>
          <w:szCs w:val="24"/>
          <w:lang w:val="en-US"/>
        </w:rPr>
        <w:t xml:space="preserve"> </w:t>
      </w:r>
      <w:r w:rsidRPr="006274E3">
        <w:rPr>
          <w:rFonts w:ascii="Times New Roman" w:hAnsi="Times New Roman" w:cs="Times New Roman"/>
          <w:sz w:val="24"/>
          <w:szCs w:val="24"/>
          <w:lang w:val="en-US"/>
        </w:rPr>
        <w:t xml:space="preserve"> </w:t>
      </w:r>
    </w:p>
    <w:p w14:paraId="3178C01D" w14:textId="77777777" w:rsidR="006274E3" w:rsidRDefault="006274E3">
      <w:pPr>
        <w:rPr>
          <w:rFonts w:ascii="Times New Roman" w:eastAsiaTheme="majorEastAsia"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6AF131E9" w14:textId="299E1AD9" w:rsidR="00BF4688" w:rsidRPr="006274E3" w:rsidRDefault="00BF4688" w:rsidP="006274E3">
      <w:pPr>
        <w:pStyle w:val="Heading1"/>
        <w:spacing w:line="360" w:lineRule="auto"/>
        <w:rPr>
          <w:rFonts w:ascii="Times New Roman" w:hAnsi="Times New Roman" w:cs="Times New Roman"/>
          <w:b/>
          <w:bCs/>
          <w:color w:val="000000" w:themeColor="text1"/>
          <w:sz w:val="24"/>
          <w:szCs w:val="24"/>
          <w:lang w:val="en-US"/>
        </w:rPr>
      </w:pPr>
      <w:bookmarkStart w:id="6" w:name="_Toc138794306"/>
      <w:r w:rsidRPr="006274E3">
        <w:rPr>
          <w:rFonts w:ascii="Times New Roman" w:hAnsi="Times New Roman" w:cs="Times New Roman"/>
          <w:b/>
          <w:bCs/>
          <w:color w:val="000000" w:themeColor="text1"/>
          <w:sz w:val="24"/>
          <w:szCs w:val="24"/>
          <w:lang w:val="en-US"/>
        </w:rPr>
        <w:lastRenderedPageBreak/>
        <w:t>References</w:t>
      </w:r>
      <w:bookmarkEnd w:id="6"/>
    </w:p>
    <w:p w14:paraId="558307A5" w14:textId="1370092F" w:rsidR="00BF4688" w:rsidRPr="006274E3" w:rsidRDefault="00BF4688" w:rsidP="006274E3">
      <w:pPr>
        <w:spacing w:line="360" w:lineRule="auto"/>
        <w:jc w:val="both"/>
        <w:rPr>
          <w:rFonts w:ascii="Times New Roman" w:hAnsi="Times New Roman" w:cs="Times New Roman"/>
          <w:color w:val="222222"/>
          <w:sz w:val="24"/>
          <w:szCs w:val="24"/>
          <w:shd w:val="clear" w:color="auto" w:fill="FFFFFF"/>
          <w:lang w:val="en-US"/>
        </w:rPr>
      </w:pPr>
      <w:r w:rsidRPr="006274E3">
        <w:rPr>
          <w:rFonts w:ascii="Times New Roman" w:hAnsi="Times New Roman" w:cs="Times New Roman"/>
          <w:color w:val="222222"/>
          <w:sz w:val="24"/>
          <w:szCs w:val="24"/>
          <w:shd w:val="clear" w:color="auto" w:fill="FFFFFF"/>
        </w:rPr>
        <w:t xml:space="preserve">Albrecht, C., Gardner, T., Allred, S., Winn, B., &amp; </w:t>
      </w:r>
      <w:proofErr w:type="spellStart"/>
      <w:r w:rsidRPr="006274E3">
        <w:rPr>
          <w:rFonts w:ascii="Times New Roman" w:hAnsi="Times New Roman" w:cs="Times New Roman"/>
          <w:color w:val="222222"/>
          <w:sz w:val="24"/>
          <w:szCs w:val="24"/>
          <w:shd w:val="clear" w:color="auto" w:fill="FFFFFF"/>
        </w:rPr>
        <w:t>Condie</w:t>
      </w:r>
      <w:proofErr w:type="spellEnd"/>
      <w:r w:rsidRPr="006274E3">
        <w:rPr>
          <w:rFonts w:ascii="Times New Roman" w:hAnsi="Times New Roman" w:cs="Times New Roman"/>
          <w:color w:val="222222"/>
          <w:sz w:val="24"/>
          <w:szCs w:val="24"/>
          <w:shd w:val="clear" w:color="auto" w:fill="FFFFFF"/>
        </w:rPr>
        <w:t xml:space="preserve">, A. (2016). To sit at the table, you </w:t>
      </w:r>
      <w:proofErr w:type="gramStart"/>
      <w:r w:rsidRPr="006274E3">
        <w:rPr>
          <w:rFonts w:ascii="Times New Roman" w:hAnsi="Times New Roman" w:cs="Times New Roman"/>
          <w:color w:val="222222"/>
          <w:sz w:val="24"/>
          <w:szCs w:val="24"/>
          <w:shd w:val="clear" w:color="auto" w:fill="FFFFFF"/>
        </w:rPr>
        <w:t>have to</w:t>
      </w:r>
      <w:proofErr w:type="gramEnd"/>
      <w:r w:rsidRPr="006274E3">
        <w:rPr>
          <w:rFonts w:ascii="Times New Roman" w:hAnsi="Times New Roman" w:cs="Times New Roman"/>
          <w:color w:val="222222"/>
          <w:sz w:val="24"/>
          <w:szCs w:val="24"/>
          <w:shd w:val="clear" w:color="auto" w:fill="FFFFFF"/>
        </w:rPr>
        <w:t xml:space="preserve"> know the language: important financial metrics for HR directors. </w:t>
      </w:r>
      <w:r w:rsidRPr="006274E3">
        <w:rPr>
          <w:rFonts w:ascii="Times New Roman" w:hAnsi="Times New Roman" w:cs="Times New Roman"/>
          <w:i/>
          <w:iCs/>
          <w:color w:val="222222"/>
          <w:sz w:val="24"/>
          <w:szCs w:val="24"/>
          <w:shd w:val="clear" w:color="auto" w:fill="FFFFFF"/>
        </w:rPr>
        <w:t>Strategic HR Review</w:t>
      </w:r>
      <w:r w:rsidRPr="006274E3">
        <w:rPr>
          <w:rFonts w:ascii="Times New Roman" w:hAnsi="Times New Roman" w:cs="Times New Roman"/>
          <w:color w:val="222222"/>
          <w:sz w:val="24"/>
          <w:szCs w:val="24"/>
          <w:shd w:val="clear" w:color="auto" w:fill="FFFFFF"/>
        </w:rPr>
        <w:t>, </w:t>
      </w:r>
      <w:r w:rsidRPr="006274E3">
        <w:rPr>
          <w:rFonts w:ascii="Times New Roman" w:hAnsi="Times New Roman" w:cs="Times New Roman"/>
          <w:i/>
          <w:iCs/>
          <w:color w:val="222222"/>
          <w:sz w:val="24"/>
          <w:szCs w:val="24"/>
          <w:shd w:val="clear" w:color="auto" w:fill="FFFFFF"/>
        </w:rPr>
        <w:t>15</w:t>
      </w:r>
      <w:r w:rsidRPr="006274E3">
        <w:rPr>
          <w:rFonts w:ascii="Times New Roman" w:hAnsi="Times New Roman" w:cs="Times New Roman"/>
          <w:color w:val="222222"/>
          <w:sz w:val="24"/>
          <w:szCs w:val="24"/>
          <w:shd w:val="clear" w:color="auto" w:fill="FFFFFF"/>
        </w:rPr>
        <w:t>(3), 123-128.</w:t>
      </w:r>
      <w:r w:rsidRPr="006274E3">
        <w:rPr>
          <w:rFonts w:ascii="Times New Roman" w:hAnsi="Times New Roman" w:cs="Times New Roman"/>
          <w:color w:val="222222"/>
          <w:sz w:val="24"/>
          <w:szCs w:val="24"/>
          <w:shd w:val="clear" w:color="auto" w:fill="FFFFFF"/>
          <w:lang w:val="en-US"/>
        </w:rPr>
        <w:t xml:space="preserve"> Available at Trident Library</w:t>
      </w:r>
    </w:p>
    <w:p w14:paraId="61E1EA1C" w14:textId="3581F439" w:rsidR="00BF4688" w:rsidRPr="006274E3" w:rsidRDefault="00BF4688" w:rsidP="006274E3">
      <w:pPr>
        <w:spacing w:line="360" w:lineRule="auto"/>
        <w:jc w:val="both"/>
        <w:rPr>
          <w:rFonts w:ascii="Times New Roman" w:hAnsi="Times New Roman" w:cs="Times New Roman"/>
          <w:color w:val="222222"/>
          <w:sz w:val="24"/>
          <w:szCs w:val="24"/>
          <w:shd w:val="clear" w:color="auto" w:fill="FFFFFF"/>
          <w:lang w:val="en-US"/>
        </w:rPr>
      </w:pPr>
      <w:r w:rsidRPr="006274E3">
        <w:rPr>
          <w:rFonts w:ascii="Times New Roman" w:hAnsi="Times New Roman" w:cs="Times New Roman"/>
          <w:color w:val="222222"/>
          <w:sz w:val="24"/>
          <w:szCs w:val="24"/>
          <w:shd w:val="clear" w:color="auto" w:fill="FFFFFF"/>
        </w:rPr>
        <w:t>Armstrong, M., &amp; Taylor, S. (2020). </w:t>
      </w:r>
      <w:r w:rsidRPr="006274E3">
        <w:rPr>
          <w:rFonts w:ascii="Times New Roman" w:hAnsi="Times New Roman" w:cs="Times New Roman"/>
          <w:i/>
          <w:iCs/>
          <w:color w:val="222222"/>
          <w:sz w:val="24"/>
          <w:szCs w:val="24"/>
          <w:shd w:val="clear" w:color="auto" w:fill="FFFFFF"/>
        </w:rPr>
        <w:t>Armstrong's handbook of human resource management practice</w:t>
      </w:r>
      <w:r w:rsidRPr="006274E3">
        <w:rPr>
          <w:rFonts w:ascii="Times New Roman" w:hAnsi="Times New Roman" w:cs="Times New Roman"/>
          <w:color w:val="222222"/>
          <w:sz w:val="24"/>
          <w:szCs w:val="24"/>
          <w:shd w:val="clear" w:color="auto" w:fill="FFFFFF"/>
        </w:rPr>
        <w:t>. Kogan Page Publishers.</w:t>
      </w:r>
      <w:r w:rsidRPr="006274E3">
        <w:rPr>
          <w:rFonts w:ascii="Times New Roman" w:hAnsi="Times New Roman" w:cs="Times New Roman"/>
          <w:color w:val="222222"/>
          <w:sz w:val="24"/>
          <w:szCs w:val="24"/>
          <w:shd w:val="clear" w:color="auto" w:fill="FFFFFF"/>
          <w:lang w:val="en-US"/>
        </w:rPr>
        <w:t xml:space="preserve"> Available at Trident online library</w:t>
      </w:r>
    </w:p>
    <w:p w14:paraId="44E7CDF7" w14:textId="547F1DBD" w:rsidR="00D24DAC" w:rsidRPr="006274E3" w:rsidRDefault="00D24DAC" w:rsidP="006274E3">
      <w:pPr>
        <w:spacing w:line="360" w:lineRule="auto"/>
        <w:jc w:val="both"/>
        <w:rPr>
          <w:rFonts w:ascii="Times New Roman" w:hAnsi="Times New Roman" w:cs="Times New Roman"/>
          <w:color w:val="222222"/>
          <w:sz w:val="24"/>
          <w:szCs w:val="24"/>
          <w:shd w:val="clear" w:color="auto" w:fill="FFFFFF"/>
          <w:lang w:val="en-US"/>
        </w:rPr>
      </w:pPr>
      <w:r w:rsidRPr="006274E3">
        <w:rPr>
          <w:rFonts w:ascii="Times New Roman" w:hAnsi="Times New Roman" w:cs="Times New Roman"/>
          <w:color w:val="222222"/>
          <w:sz w:val="24"/>
          <w:szCs w:val="24"/>
          <w:shd w:val="clear" w:color="auto" w:fill="FFFFFF"/>
        </w:rPr>
        <w:t>Carlson, K. D., &amp; Kavanagh, M. J. (2011). HR metrics and workforce analytics. </w:t>
      </w:r>
      <w:r w:rsidRPr="006274E3">
        <w:rPr>
          <w:rFonts w:ascii="Times New Roman" w:hAnsi="Times New Roman" w:cs="Times New Roman"/>
          <w:i/>
          <w:iCs/>
          <w:color w:val="222222"/>
          <w:sz w:val="24"/>
          <w:szCs w:val="24"/>
          <w:shd w:val="clear" w:color="auto" w:fill="FFFFFF"/>
        </w:rPr>
        <w:t>Human resource information systems: Basics, applications, and future directions</w:t>
      </w:r>
      <w:r w:rsidRPr="006274E3">
        <w:rPr>
          <w:rFonts w:ascii="Times New Roman" w:hAnsi="Times New Roman" w:cs="Times New Roman"/>
          <w:color w:val="222222"/>
          <w:sz w:val="24"/>
          <w:szCs w:val="24"/>
          <w:shd w:val="clear" w:color="auto" w:fill="FFFFFF"/>
        </w:rPr>
        <w:t>, </w:t>
      </w:r>
      <w:r w:rsidRPr="006274E3">
        <w:rPr>
          <w:rFonts w:ascii="Times New Roman" w:hAnsi="Times New Roman" w:cs="Times New Roman"/>
          <w:i/>
          <w:iCs/>
          <w:color w:val="222222"/>
          <w:sz w:val="24"/>
          <w:szCs w:val="24"/>
          <w:shd w:val="clear" w:color="auto" w:fill="FFFFFF"/>
        </w:rPr>
        <w:t>150</w:t>
      </w:r>
      <w:r w:rsidRPr="006274E3">
        <w:rPr>
          <w:rFonts w:ascii="Times New Roman" w:hAnsi="Times New Roman" w:cs="Times New Roman"/>
          <w:color w:val="222222"/>
          <w:sz w:val="24"/>
          <w:szCs w:val="24"/>
          <w:shd w:val="clear" w:color="auto" w:fill="FFFFFF"/>
        </w:rPr>
        <w:t>.</w:t>
      </w:r>
    </w:p>
    <w:p w14:paraId="67E9FAF8" w14:textId="6D6342E3" w:rsidR="006D06BB" w:rsidRPr="006274E3" w:rsidRDefault="006D06BB" w:rsidP="006274E3">
      <w:pPr>
        <w:spacing w:line="360" w:lineRule="auto"/>
        <w:jc w:val="both"/>
        <w:rPr>
          <w:rFonts w:ascii="Times New Roman" w:hAnsi="Times New Roman" w:cs="Times New Roman"/>
          <w:color w:val="222222"/>
          <w:sz w:val="24"/>
          <w:szCs w:val="24"/>
          <w:shd w:val="clear" w:color="auto" w:fill="FFFFFF"/>
          <w:lang w:val="en-US"/>
        </w:rPr>
      </w:pPr>
      <w:proofErr w:type="spellStart"/>
      <w:r w:rsidRPr="006274E3">
        <w:rPr>
          <w:rFonts w:ascii="Times New Roman" w:hAnsi="Times New Roman" w:cs="Times New Roman"/>
          <w:color w:val="222222"/>
          <w:sz w:val="24"/>
          <w:szCs w:val="24"/>
          <w:shd w:val="clear" w:color="auto" w:fill="FFFFFF"/>
        </w:rPr>
        <w:t>Dulebohn</w:t>
      </w:r>
      <w:proofErr w:type="spellEnd"/>
      <w:r w:rsidRPr="006274E3">
        <w:rPr>
          <w:rFonts w:ascii="Times New Roman" w:hAnsi="Times New Roman" w:cs="Times New Roman"/>
          <w:color w:val="222222"/>
          <w:sz w:val="24"/>
          <w:szCs w:val="24"/>
          <w:shd w:val="clear" w:color="auto" w:fill="FFFFFF"/>
        </w:rPr>
        <w:t>, J. H., &amp; Johnson, R. D. (2013). Human resource metrics and decision support: A classification framework. </w:t>
      </w:r>
      <w:r w:rsidRPr="006274E3">
        <w:rPr>
          <w:rFonts w:ascii="Times New Roman" w:hAnsi="Times New Roman" w:cs="Times New Roman"/>
          <w:i/>
          <w:iCs/>
          <w:color w:val="222222"/>
          <w:sz w:val="24"/>
          <w:szCs w:val="24"/>
          <w:shd w:val="clear" w:color="auto" w:fill="FFFFFF"/>
        </w:rPr>
        <w:t>Human Resource Management Review</w:t>
      </w:r>
      <w:r w:rsidRPr="006274E3">
        <w:rPr>
          <w:rFonts w:ascii="Times New Roman" w:hAnsi="Times New Roman" w:cs="Times New Roman"/>
          <w:color w:val="222222"/>
          <w:sz w:val="24"/>
          <w:szCs w:val="24"/>
          <w:shd w:val="clear" w:color="auto" w:fill="FFFFFF"/>
        </w:rPr>
        <w:t>, </w:t>
      </w:r>
      <w:r w:rsidRPr="006274E3">
        <w:rPr>
          <w:rFonts w:ascii="Times New Roman" w:hAnsi="Times New Roman" w:cs="Times New Roman"/>
          <w:i/>
          <w:iCs/>
          <w:color w:val="222222"/>
          <w:sz w:val="24"/>
          <w:szCs w:val="24"/>
          <w:shd w:val="clear" w:color="auto" w:fill="FFFFFF"/>
        </w:rPr>
        <w:t>23</w:t>
      </w:r>
      <w:r w:rsidRPr="006274E3">
        <w:rPr>
          <w:rFonts w:ascii="Times New Roman" w:hAnsi="Times New Roman" w:cs="Times New Roman"/>
          <w:color w:val="222222"/>
          <w:sz w:val="24"/>
          <w:szCs w:val="24"/>
          <w:shd w:val="clear" w:color="auto" w:fill="FFFFFF"/>
        </w:rPr>
        <w:t>(1), 71-83.</w:t>
      </w:r>
    </w:p>
    <w:p w14:paraId="45BE0756" w14:textId="4BF69930" w:rsidR="00BF4688" w:rsidRPr="006274E3" w:rsidRDefault="00BF4688" w:rsidP="006274E3">
      <w:pPr>
        <w:spacing w:line="360" w:lineRule="auto"/>
        <w:jc w:val="both"/>
        <w:rPr>
          <w:rFonts w:ascii="Times New Roman" w:hAnsi="Times New Roman" w:cs="Times New Roman"/>
          <w:color w:val="222222"/>
          <w:sz w:val="24"/>
          <w:szCs w:val="24"/>
          <w:shd w:val="clear" w:color="auto" w:fill="FFFFFF"/>
          <w:lang w:val="en-US"/>
        </w:rPr>
      </w:pPr>
      <w:r w:rsidRPr="006274E3">
        <w:rPr>
          <w:rFonts w:ascii="Times New Roman" w:hAnsi="Times New Roman" w:cs="Times New Roman"/>
          <w:color w:val="222222"/>
          <w:sz w:val="24"/>
          <w:szCs w:val="24"/>
          <w:shd w:val="clear" w:color="auto" w:fill="FFFFFF"/>
        </w:rPr>
        <w:t>Khan, N., &amp; Millner, D. (2023). </w:t>
      </w:r>
      <w:r w:rsidRPr="006274E3">
        <w:rPr>
          <w:rFonts w:ascii="Times New Roman" w:hAnsi="Times New Roman" w:cs="Times New Roman"/>
          <w:i/>
          <w:iCs/>
          <w:color w:val="222222"/>
          <w:sz w:val="24"/>
          <w:szCs w:val="24"/>
          <w:shd w:val="clear" w:color="auto" w:fill="FFFFFF"/>
        </w:rPr>
        <w:t>Introduction to people analytics: a practical guide to data-driven HR</w:t>
      </w:r>
      <w:r w:rsidRPr="006274E3">
        <w:rPr>
          <w:rFonts w:ascii="Times New Roman" w:hAnsi="Times New Roman" w:cs="Times New Roman"/>
          <w:color w:val="222222"/>
          <w:sz w:val="24"/>
          <w:szCs w:val="24"/>
          <w:shd w:val="clear" w:color="auto" w:fill="FFFFFF"/>
        </w:rPr>
        <w:t>. Kogan Page Publishers.</w:t>
      </w:r>
      <w:r w:rsidRPr="006274E3">
        <w:rPr>
          <w:rFonts w:ascii="Times New Roman" w:hAnsi="Times New Roman" w:cs="Times New Roman"/>
          <w:color w:val="222222"/>
          <w:sz w:val="24"/>
          <w:szCs w:val="24"/>
          <w:shd w:val="clear" w:color="auto" w:fill="FFFFFF"/>
          <w:lang w:val="en-US"/>
        </w:rPr>
        <w:t xml:space="preserve"> Available at Trident Library</w:t>
      </w:r>
    </w:p>
    <w:p w14:paraId="4885B395" w14:textId="77777777" w:rsidR="00BF4688" w:rsidRPr="006274E3" w:rsidRDefault="00BF4688" w:rsidP="006274E3">
      <w:pPr>
        <w:spacing w:line="360" w:lineRule="auto"/>
        <w:jc w:val="both"/>
        <w:rPr>
          <w:rFonts w:ascii="Times New Roman" w:hAnsi="Times New Roman" w:cs="Times New Roman"/>
          <w:sz w:val="24"/>
          <w:szCs w:val="24"/>
          <w:lang w:val="en-US"/>
        </w:rPr>
      </w:pPr>
    </w:p>
    <w:sectPr w:rsidR="00BF4688" w:rsidRPr="00627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D74B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267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2A0E"/>
    <w:rsid w:val="0001093C"/>
    <w:rsid w:val="00074FA1"/>
    <w:rsid w:val="0010717F"/>
    <w:rsid w:val="001E1998"/>
    <w:rsid w:val="001F09AE"/>
    <w:rsid w:val="002B0200"/>
    <w:rsid w:val="002C232A"/>
    <w:rsid w:val="00316544"/>
    <w:rsid w:val="0034397C"/>
    <w:rsid w:val="003F2A0E"/>
    <w:rsid w:val="00436E3B"/>
    <w:rsid w:val="0044527C"/>
    <w:rsid w:val="00485DE9"/>
    <w:rsid w:val="004A5524"/>
    <w:rsid w:val="0053369A"/>
    <w:rsid w:val="00582C48"/>
    <w:rsid w:val="005E18B5"/>
    <w:rsid w:val="005F13E5"/>
    <w:rsid w:val="00605A34"/>
    <w:rsid w:val="00611CCF"/>
    <w:rsid w:val="006161D6"/>
    <w:rsid w:val="00624E69"/>
    <w:rsid w:val="00626843"/>
    <w:rsid w:val="006274E3"/>
    <w:rsid w:val="00636A38"/>
    <w:rsid w:val="00644BE8"/>
    <w:rsid w:val="00652390"/>
    <w:rsid w:val="006D06BB"/>
    <w:rsid w:val="006D1D10"/>
    <w:rsid w:val="00711EB3"/>
    <w:rsid w:val="00717291"/>
    <w:rsid w:val="00744C56"/>
    <w:rsid w:val="00762FC2"/>
    <w:rsid w:val="007943FA"/>
    <w:rsid w:val="007B7187"/>
    <w:rsid w:val="007C1C0C"/>
    <w:rsid w:val="007C553A"/>
    <w:rsid w:val="00850912"/>
    <w:rsid w:val="00885272"/>
    <w:rsid w:val="008901A3"/>
    <w:rsid w:val="009177CB"/>
    <w:rsid w:val="00925609"/>
    <w:rsid w:val="00970898"/>
    <w:rsid w:val="009A328A"/>
    <w:rsid w:val="009D690C"/>
    <w:rsid w:val="00A378F2"/>
    <w:rsid w:val="00A42A0D"/>
    <w:rsid w:val="00AA5457"/>
    <w:rsid w:val="00B458CC"/>
    <w:rsid w:val="00B91062"/>
    <w:rsid w:val="00BF4688"/>
    <w:rsid w:val="00D24DAC"/>
    <w:rsid w:val="00D72C0D"/>
    <w:rsid w:val="00D928F5"/>
    <w:rsid w:val="00DB0EDA"/>
    <w:rsid w:val="00E84164"/>
    <w:rsid w:val="00EA41C6"/>
    <w:rsid w:val="00EB2C96"/>
    <w:rsid w:val="00F27478"/>
    <w:rsid w:val="00F32A16"/>
    <w:rsid w:val="00FA44F4"/>
    <w:rsid w:val="00FC4066"/>
    <w:rsid w:val="00FC4A7F"/>
    <w:rsid w:val="00FC663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B777"/>
  <w15:chartTrackingRefBased/>
  <w15:docId w15:val="{EAA1FB8B-BDB5-4EEE-B592-868E9219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8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A41C6"/>
    <w:pPr>
      <w:outlineLvl w:val="9"/>
    </w:pPr>
    <w:rPr>
      <w:kern w:val="0"/>
      <w:lang w:val="en-US"/>
    </w:rPr>
  </w:style>
  <w:style w:type="paragraph" w:styleId="TOC1">
    <w:name w:val="toc 1"/>
    <w:basedOn w:val="Normal"/>
    <w:next w:val="Normal"/>
    <w:autoRedefine/>
    <w:uiPriority w:val="39"/>
    <w:unhideWhenUsed/>
    <w:rsid w:val="00EA41C6"/>
    <w:pPr>
      <w:spacing w:after="100"/>
    </w:pPr>
  </w:style>
  <w:style w:type="character" w:styleId="Hyperlink">
    <w:name w:val="Hyperlink"/>
    <w:basedOn w:val="DefaultParagraphFont"/>
    <w:uiPriority w:val="99"/>
    <w:unhideWhenUsed/>
    <w:rsid w:val="00EA4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B0C4-D0B7-41B5-B140-A0B7139C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1304</Words>
  <Characters>7436</Characters>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2023-06-27T14:56:00Z</dcterms:created>
  <dcterms:modified xsi:type="dcterms:W3CDTF">2023-06-27T16:38:00Z</dcterms:modified>
</cp:coreProperties>
</file>