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7DCD" w14:textId="77777777" w:rsidR="00F468D1" w:rsidRPr="001D6FE3" w:rsidRDefault="00F468D1" w:rsidP="00B224B6">
      <w:pPr>
        <w:spacing w:line="480" w:lineRule="auto"/>
        <w:ind w:firstLine="720"/>
        <w:jc w:val="center"/>
        <w:rPr>
          <w:b/>
          <w:bCs/>
        </w:rPr>
      </w:pPr>
    </w:p>
    <w:p w14:paraId="09AA434B" w14:textId="77777777" w:rsidR="00F468D1" w:rsidRPr="001D6FE3" w:rsidRDefault="00F468D1" w:rsidP="00B224B6">
      <w:pPr>
        <w:spacing w:line="480" w:lineRule="auto"/>
        <w:ind w:firstLine="720"/>
        <w:jc w:val="center"/>
        <w:rPr>
          <w:b/>
          <w:bCs/>
        </w:rPr>
      </w:pPr>
    </w:p>
    <w:p w14:paraId="466FA396" w14:textId="77777777" w:rsidR="00F468D1" w:rsidRPr="001D6FE3" w:rsidRDefault="00F468D1" w:rsidP="00B224B6">
      <w:pPr>
        <w:spacing w:line="480" w:lineRule="auto"/>
        <w:ind w:firstLine="720"/>
        <w:jc w:val="center"/>
        <w:rPr>
          <w:b/>
          <w:bCs/>
        </w:rPr>
      </w:pPr>
    </w:p>
    <w:p w14:paraId="0D8CF4B9" w14:textId="77777777" w:rsidR="00F468D1" w:rsidRPr="001D6FE3" w:rsidRDefault="00F468D1" w:rsidP="00B224B6">
      <w:pPr>
        <w:spacing w:line="480" w:lineRule="auto"/>
        <w:ind w:firstLine="720"/>
        <w:jc w:val="center"/>
        <w:rPr>
          <w:b/>
          <w:bCs/>
        </w:rPr>
      </w:pPr>
    </w:p>
    <w:p w14:paraId="253C824D" w14:textId="5B9DAD77" w:rsidR="00286395" w:rsidRPr="001D6FE3" w:rsidRDefault="00DB0810" w:rsidP="00F378C4">
      <w:pPr>
        <w:spacing w:line="480" w:lineRule="auto"/>
        <w:jc w:val="center"/>
        <w:rPr>
          <w:b/>
          <w:bCs/>
        </w:rPr>
      </w:pPr>
      <w:r w:rsidRPr="001D6FE3">
        <w:rPr>
          <w:b/>
          <w:bCs/>
        </w:rPr>
        <w:t>MGT501</w:t>
      </w:r>
      <w:r w:rsidR="005C4B3D" w:rsidRPr="001D6FE3">
        <w:rPr>
          <w:b/>
          <w:bCs/>
        </w:rPr>
        <w:t xml:space="preserve"> </w:t>
      </w:r>
      <w:r w:rsidR="00BC788F" w:rsidRPr="001D6FE3">
        <w:rPr>
          <w:b/>
          <w:bCs/>
        </w:rPr>
        <w:t>Case 3</w:t>
      </w:r>
    </w:p>
    <w:p w14:paraId="215330E4" w14:textId="77777777" w:rsidR="00286395" w:rsidRPr="001D6FE3" w:rsidRDefault="00286395" w:rsidP="00B224B6">
      <w:pPr>
        <w:spacing w:line="480" w:lineRule="auto"/>
        <w:ind w:firstLine="720"/>
        <w:jc w:val="center"/>
      </w:pPr>
    </w:p>
    <w:p w14:paraId="0C9670E1" w14:textId="77777777" w:rsidR="00454CAF" w:rsidRPr="001D6FE3" w:rsidRDefault="00454CAF" w:rsidP="00F378C4">
      <w:pPr>
        <w:spacing w:line="480" w:lineRule="auto"/>
        <w:jc w:val="center"/>
      </w:pPr>
      <w:r w:rsidRPr="001D6FE3">
        <w:t>Your Name</w:t>
      </w:r>
    </w:p>
    <w:p w14:paraId="02750D95" w14:textId="77777777" w:rsidR="00454CAF" w:rsidRPr="001D6FE3" w:rsidRDefault="00454CAF" w:rsidP="00F378C4">
      <w:pPr>
        <w:spacing w:line="480" w:lineRule="auto"/>
        <w:jc w:val="center"/>
      </w:pPr>
      <w:r w:rsidRPr="001D6FE3">
        <w:t xml:space="preserve">Trident University International </w:t>
      </w:r>
    </w:p>
    <w:p w14:paraId="70F9BBF2" w14:textId="3F5507EA" w:rsidR="007E1727" w:rsidRPr="001D6FE3" w:rsidRDefault="00DB0810" w:rsidP="00F378C4">
      <w:pPr>
        <w:spacing w:line="480" w:lineRule="auto"/>
        <w:jc w:val="center"/>
      </w:pPr>
      <w:r w:rsidRPr="001D6FE3">
        <w:t>MGT501</w:t>
      </w:r>
      <w:r w:rsidR="00D87EB9" w:rsidRPr="001D6FE3">
        <w:t xml:space="preserve"> </w:t>
      </w:r>
      <w:r w:rsidRPr="001D6FE3">
        <w:t>Management and Organizational Behavior</w:t>
      </w:r>
    </w:p>
    <w:p w14:paraId="54C389E1" w14:textId="7A086B20" w:rsidR="00844EE7" w:rsidRPr="001D6FE3" w:rsidRDefault="00454CAF" w:rsidP="00F378C4">
      <w:pPr>
        <w:spacing w:line="480" w:lineRule="auto"/>
        <w:jc w:val="center"/>
      </w:pPr>
      <w:r w:rsidRPr="001D6FE3">
        <w:t>Due Date</w:t>
      </w:r>
    </w:p>
    <w:p w14:paraId="6C8D5EF8" w14:textId="56D46919" w:rsidR="003C7F15" w:rsidRPr="001D6FE3" w:rsidRDefault="00352E8D" w:rsidP="0002399C">
      <w:pPr>
        <w:spacing w:line="480" w:lineRule="auto"/>
        <w:jc w:val="center"/>
        <w:rPr>
          <w:b/>
          <w:bCs/>
        </w:rPr>
      </w:pPr>
      <w:r w:rsidRPr="001D6FE3">
        <w:br w:type="page"/>
      </w:r>
    </w:p>
    <w:p w14:paraId="6FC81AB6" w14:textId="77777777" w:rsidR="001D6FE3" w:rsidRPr="001D6FE3" w:rsidRDefault="001D6FE3" w:rsidP="001D6FE3">
      <w:pPr>
        <w:pStyle w:val="Heading1"/>
      </w:pPr>
      <w:r w:rsidRPr="001D6FE3">
        <w:lastRenderedPageBreak/>
        <w:t>MGT501 Case 3</w:t>
      </w:r>
    </w:p>
    <w:p w14:paraId="6AB59C25" w14:textId="77777777" w:rsidR="001D6FE3" w:rsidRPr="001D6FE3" w:rsidRDefault="001D6FE3" w:rsidP="001D6FE3">
      <w:pPr>
        <w:spacing w:line="480" w:lineRule="auto"/>
        <w:ind w:firstLine="720"/>
      </w:pPr>
      <w:r w:rsidRPr="001D6FE3">
        <w:rPr>
          <w:b/>
          <w:bCs/>
        </w:rPr>
        <w:t>Introduction</w:t>
      </w:r>
    </w:p>
    <w:p w14:paraId="54342429" w14:textId="77777777" w:rsidR="001D6FE3" w:rsidRPr="001D6FE3" w:rsidRDefault="001D6FE3" w:rsidP="00342FE0">
      <w:pPr>
        <w:spacing w:line="480" w:lineRule="auto"/>
        <w:ind w:firstLine="720"/>
        <w:jc w:val="both"/>
      </w:pPr>
      <w:r w:rsidRPr="001D6FE3">
        <w:t>Media has a major influence in community perception of issues, including DEI practices and awareness by employees of similar efforts at various organization. Whether applauded for promoting diversity or criticized for being a problem for divide and rule, the media plays an important role in shaping the effectiveness and the opposition which DEI policies and practices receive in the workplace.</w:t>
      </w:r>
    </w:p>
    <w:p w14:paraId="6F5C283C" w14:textId="77777777" w:rsidR="001D6FE3" w:rsidRPr="001D6FE3" w:rsidRDefault="001D6FE3" w:rsidP="001D6FE3">
      <w:pPr>
        <w:spacing w:line="480" w:lineRule="auto"/>
        <w:ind w:firstLine="720"/>
      </w:pPr>
    </w:p>
    <w:p w14:paraId="3D8082DA" w14:textId="77777777" w:rsidR="001D6FE3" w:rsidRPr="001D6FE3" w:rsidRDefault="001D6FE3" w:rsidP="001D6FE3">
      <w:pPr>
        <w:spacing w:line="480" w:lineRule="auto"/>
        <w:ind w:firstLine="720"/>
      </w:pPr>
      <w:r w:rsidRPr="001D6FE3">
        <w:rPr>
          <w:b/>
          <w:bCs/>
        </w:rPr>
        <w:t>Cultural Intelligence </w:t>
      </w:r>
    </w:p>
    <w:p w14:paraId="0628C52F" w14:textId="0630AEA1" w:rsidR="001D6FE3" w:rsidRPr="001D6FE3" w:rsidRDefault="001D6FE3" w:rsidP="00AA76DD">
      <w:pPr>
        <w:spacing w:line="480" w:lineRule="auto"/>
        <w:ind w:firstLine="720"/>
        <w:jc w:val="both"/>
      </w:pPr>
      <w:r w:rsidRPr="001D6FE3">
        <w:t>Cultural Intelligence (CQ) therefore enables leaders to work effectively with people from different cultural background through acknowledging and addressing barriers for improving cultural relations and processes in the organizations. CQ, which consists of cognitive, motivational, and behavioral competencies enables leaders to manage interactions with employees in their cross-cultural teams hence-results in better interaction and cooperative innovations.</w:t>
      </w:r>
    </w:p>
    <w:p w14:paraId="65214356" w14:textId="77777777" w:rsidR="001D6FE3" w:rsidRPr="001D6FE3" w:rsidRDefault="001D6FE3" w:rsidP="00211D6B">
      <w:pPr>
        <w:spacing w:line="480" w:lineRule="auto"/>
        <w:ind w:firstLine="720"/>
        <w:jc w:val="both"/>
      </w:pPr>
      <w:r w:rsidRPr="001D6FE3">
        <w:t xml:space="preserve">The kind of dividends leaders can tap from CQ include; Leaders should embrace diversity and integrate applicable concepts into their workplaces. How Leaders Can Leverage ESCI to Transform Career Lives by Smith and Singh (2023) revealed that leaders that build high CQ can foster the respect for other people’s worth in an organization. These leaders are able to adapt themselves on how to successfully communicate with people of different culture hence avoiding any misunderstanding which might have resulted due to the differences in the standards that exists within the two cultures. On a more operational level, this may entail understanding the </w:t>
      </w:r>
      <w:r w:rsidRPr="001D6FE3">
        <w:lastRenderedPageBreak/>
        <w:t>high-low contact cultural dimension that avoids people’s isolation and provides effective communication.</w:t>
      </w:r>
    </w:p>
    <w:p w14:paraId="48211AF9" w14:textId="24D74CDE" w:rsidR="001D6FE3" w:rsidRPr="001D6FE3" w:rsidRDefault="001D6FE3" w:rsidP="00211D6B">
      <w:pPr>
        <w:spacing w:line="480" w:lineRule="auto"/>
        <w:ind w:firstLine="720"/>
        <w:jc w:val="both"/>
      </w:pPr>
      <w:r w:rsidRPr="001D6FE3">
        <w:t>The interaction of CQ and leadership pattern are also essential for the administration of culturally diverse team. Leaders with high CQ should complement well with the transformational leadership since both focus on trust, motivation and vision. Transformational leaders, as discussed in "Global Parity Alliance: “DE&amp;I Lighthouses 2023: Seven Inspirational Strategies for Activating Your Team” (2023), encourages team members pointing to the role of diversity and equity. When it comes to CQ, a high CQ will involve a leader to be more empathetic which is very key in transformational leadership, and the ability of a leader to motivate the team despite the cultural differences is key and be more productive in terms of a team that has to achieve certain organizational goals and objectives.</w:t>
      </w:r>
    </w:p>
    <w:p w14:paraId="3914AF67" w14:textId="77777777" w:rsidR="001D6FE3" w:rsidRPr="001D6FE3" w:rsidRDefault="001D6FE3" w:rsidP="00211D6B">
      <w:pPr>
        <w:spacing w:line="480" w:lineRule="auto"/>
        <w:ind w:firstLine="720"/>
        <w:jc w:val="both"/>
      </w:pPr>
      <w:r w:rsidRPr="001D6FE3">
        <w:t>Besides, CQ helps leaders learn what cultural prejudices and multicultural conflicts may exist and how to avoid them, which is crucial for multicultural teamwork. As noted in “Inequality” (2023), cultures have inherent biases and a CIG leader has a better chance to recognize these biases while recommending ways to overcome them to enhance diverse thinking and innovation. Personal cultural intelligence means leaders can adopt multicultural approaches, as discussed in “To Sound Like a Culturally Intelligent Leader, Change How You Talk” (2023); one simple way that leaders can demonstrate cultural intelligence is by modifying the way they speak to be more culturally appropriate.</w:t>
      </w:r>
    </w:p>
    <w:p w14:paraId="6999E04D" w14:textId="77777777" w:rsidR="001D6FE3" w:rsidRPr="001D6FE3" w:rsidRDefault="001D6FE3" w:rsidP="00211D6B">
      <w:pPr>
        <w:spacing w:line="480" w:lineRule="auto"/>
        <w:ind w:firstLine="720"/>
        <w:jc w:val="both"/>
      </w:pPr>
      <w:r w:rsidRPr="001D6FE3">
        <w:t>With CQ, the leaders can also foster balance in multicultural groups, promote adequate compliance and generate high levels of creativity, all of which results in organizational efficiency and success in current globalized workplace.</w:t>
      </w:r>
    </w:p>
    <w:p w14:paraId="4F3EDAAA" w14:textId="77777777" w:rsidR="001D6FE3" w:rsidRPr="001D6FE3" w:rsidRDefault="001D6FE3" w:rsidP="001D6FE3">
      <w:pPr>
        <w:spacing w:line="480" w:lineRule="auto"/>
        <w:ind w:firstLine="720"/>
      </w:pPr>
    </w:p>
    <w:p w14:paraId="39578CCA" w14:textId="77777777" w:rsidR="001D6FE3" w:rsidRPr="001D6FE3" w:rsidRDefault="001D6FE3" w:rsidP="001D6FE3">
      <w:pPr>
        <w:spacing w:line="480" w:lineRule="auto"/>
        <w:ind w:firstLine="720"/>
      </w:pPr>
      <w:r w:rsidRPr="001D6FE3">
        <w:rPr>
          <w:b/>
          <w:bCs/>
        </w:rPr>
        <w:lastRenderedPageBreak/>
        <w:t>Diversity, Inclusion, and CQ</w:t>
      </w:r>
    </w:p>
    <w:p w14:paraId="6EC103D6" w14:textId="0FD2008A" w:rsidR="001D6FE3" w:rsidRPr="001D6FE3" w:rsidRDefault="001D6FE3" w:rsidP="00211D6B">
      <w:pPr>
        <w:spacing w:line="480" w:lineRule="auto"/>
        <w:ind w:firstLine="720"/>
        <w:jc w:val="both"/>
      </w:pPr>
      <w:r w:rsidRPr="001D6FE3">
        <w:t>Cultural Intelligence (CQ) is central to the dynamics of developing and improving diversity and inclusion (D&amp;I) initiatives in organizations. CQ, therefore, makes it easier for organizations to welcome the differences and ensure that it harnesses the value of diversity in as much as it promotes it within a certain organization. CQ turns into a system of mental, emotional, and practical measures by which organizational participants may successfully operate in terms of culture. CQ complements D&amp;I initiatives when implemented, thus improving organizational outcomes, to achieve inclusive workplaces and increase inter-group respect.</w:t>
      </w:r>
    </w:p>
    <w:p w14:paraId="7DBD1C81" w14:textId="63720DFA" w:rsidR="001D6FE3" w:rsidRPr="001D6FE3" w:rsidRDefault="001D6FE3" w:rsidP="00211D6B">
      <w:pPr>
        <w:spacing w:line="480" w:lineRule="auto"/>
        <w:ind w:firstLine="720"/>
        <w:jc w:val="both"/>
      </w:pPr>
      <w:r w:rsidRPr="001D6FE3">
        <w:t>CQ can be used in organizations D&amp;I efforts based on the fact that the leadership and employees need to be equipped with knowledge that involves understanding and embracing of culture. By the same token, D&amp;I practices reveal that for organizations that embrace this concept, they need to select employees by not only offering the positions to the minorities and equal employment rates for everyone, but to also ensure that everyone in the company feels welcome and appreciated. With CQ, leaders are able to grasp cultural differences that are present with in teams of people and make adjustments. Whilst these adaptations make it more appropriate in creating an environment that is sensitive to the individuals’ background, all are treated equally well.</w:t>
      </w:r>
    </w:p>
    <w:p w14:paraId="5AFB7321" w14:textId="77777777" w:rsidR="001D6FE3" w:rsidRPr="001D6FE3" w:rsidRDefault="001D6FE3" w:rsidP="003F6818">
      <w:pPr>
        <w:spacing w:line="480" w:lineRule="auto"/>
        <w:ind w:firstLine="720"/>
        <w:jc w:val="both"/>
      </w:pPr>
      <w:r w:rsidRPr="001D6FE3">
        <w:t xml:space="preserve">Incorporating CQ into D&amp;I measures is also effective in preventing preconceptions that may slow the advancement of diverse groups. Discussed in “Inequality” (2023), company’s where CQ is deemed important would be more effective in identifying and countering Bias, through training, raising awareness and implementing policies. Appreciating the cultural intelligence levels present in a business, it is possible for leaders to foster an environment that is </w:t>
      </w:r>
      <w:r w:rsidRPr="001D6FE3">
        <w:lastRenderedPageBreak/>
        <w:t>conducive to the presentation of ideas from different members of the team as well as would enable everyone to bring their best self-type to work hence improve the employee turnover rate.</w:t>
      </w:r>
    </w:p>
    <w:p w14:paraId="7B7C92F9" w14:textId="61F10341" w:rsidR="001D6FE3" w:rsidRPr="001D6FE3" w:rsidRDefault="001D6FE3" w:rsidP="003F6818">
      <w:pPr>
        <w:spacing w:line="480" w:lineRule="auto"/>
        <w:ind w:firstLine="720"/>
        <w:jc w:val="both"/>
      </w:pPr>
      <w:r w:rsidRPr="001D6FE3">
        <w:t>Furthermore, CQ allows organization to develop policies that favor not only diversity but also fairness in career advancement. "Global Parity Alliance: In its “Diversity, Equity and Inclusion Lighthouses 2023” report released in 2023, CQ’s insight is that organizations which utilize CQ can build diverse inclusion programmed that are culturally appropriate for the workforce. They assist in getting rid of the impediments to achievements by the marginalized minorities ensuring they stay in the given organization thus improving its longevity.</w:t>
      </w:r>
    </w:p>
    <w:p w14:paraId="751F606D" w14:textId="209AE232" w:rsidR="001D6FE3" w:rsidRPr="001D6FE3" w:rsidRDefault="001D6FE3" w:rsidP="003F6818">
      <w:pPr>
        <w:spacing w:line="480" w:lineRule="auto"/>
        <w:ind w:firstLine="720"/>
        <w:jc w:val="both"/>
      </w:pPr>
      <w:r w:rsidRPr="001D6FE3">
        <w:t>When CQ is integrated into an organization’s D&amp;I initiatives, organizations create a working environment that effectively utilizes the strengths of diversity but minimizes the negative aspect of diversity, ultimately enhancing organizational performance, innovation and motivation.</w:t>
      </w:r>
    </w:p>
    <w:p w14:paraId="4FC32D1C" w14:textId="77777777" w:rsidR="001D6FE3" w:rsidRPr="001D6FE3" w:rsidRDefault="001D6FE3" w:rsidP="001D6FE3">
      <w:pPr>
        <w:spacing w:line="480" w:lineRule="auto"/>
        <w:ind w:firstLine="720"/>
      </w:pPr>
    </w:p>
    <w:p w14:paraId="0DA65A3A" w14:textId="77777777" w:rsidR="001D6FE3" w:rsidRPr="001D6FE3" w:rsidRDefault="001D6FE3" w:rsidP="001D6FE3">
      <w:pPr>
        <w:spacing w:line="480" w:lineRule="auto"/>
        <w:ind w:firstLine="720"/>
      </w:pPr>
      <w:r w:rsidRPr="001D6FE3">
        <w:rPr>
          <w:b/>
          <w:bCs/>
        </w:rPr>
        <w:t>Challenges in a Diverse Workplace</w:t>
      </w:r>
    </w:p>
    <w:p w14:paraId="41E00863" w14:textId="77777777" w:rsidR="001D6FE3" w:rsidRPr="001D6FE3" w:rsidRDefault="001D6FE3" w:rsidP="00535E7E">
      <w:pPr>
        <w:spacing w:line="480" w:lineRule="auto"/>
        <w:ind w:firstLine="720"/>
        <w:jc w:val="both"/>
      </w:pPr>
      <w:r w:rsidRPr="001D6FE3">
        <w:t>Media acts as a dispatcher of perceptions involving DEI initiatives to take in every entity of the commercial enterprise and society as an entire. Although these are presented as needs for creating fairness and equality, how they are presented to the public, more often to the employees, can cause large backlash or skepticism. Communication in media is influential because it creates either a foundation of acceptance or proactively serves to weaken and dismantle DEI initiatives in the workplace.</w:t>
      </w:r>
    </w:p>
    <w:p w14:paraId="4AAE82F9" w14:textId="05F3ADAE" w:rsidR="001D6FE3" w:rsidRPr="001D6FE3" w:rsidRDefault="001D6FE3" w:rsidP="00D47471">
      <w:pPr>
        <w:spacing w:line="480" w:lineRule="auto"/>
        <w:ind w:firstLine="720"/>
        <w:jc w:val="both"/>
      </w:pPr>
      <w:r w:rsidRPr="001D6FE3">
        <w:t xml:space="preserve">On the positive side, the profits that come from practicing DEI are promoted by media outlets like enhanced innovation, better performance as well as high satisfaction among employees. Reports in “Global Parity Alliance: Explaining the concept picked by Forbes in its </w:t>
      </w:r>
      <w:r w:rsidRPr="001D6FE3">
        <w:lastRenderedPageBreak/>
        <w:t>article “Diversity, Equity, and Inclusion Lighthouses 2023” (2023), it is possible to conclude that the HR oriented on the establishment of the strong DEI policies can facilitate more effective work through discussing the main activities, engaging employees, and leveraging the further. These positive portrayals can engender a context of openness for other employees who may go into diversity programs with negative perceptions, because they make it clear that diversity is more than a morality tale, it is an opportunity. For instance, organizations responding well to the DEI initiative demonstrate improved financial results and innovation by considering diverse viewpoints. This portrayal can influence a positive change towards employees since diversity is in compliance with organizational goals of the firm.</w:t>
      </w:r>
    </w:p>
    <w:p w14:paraId="23E36F76" w14:textId="6BDC13EE" w:rsidR="001D6FE3" w:rsidRPr="001D6FE3" w:rsidRDefault="001D6FE3" w:rsidP="00D47471">
      <w:pPr>
        <w:spacing w:line="480" w:lineRule="auto"/>
        <w:ind w:firstLine="720"/>
        <w:jc w:val="both"/>
      </w:pPr>
      <w:r w:rsidRPr="001D6FE3">
        <w:t>Nonetheless, media coverage can also draw attention to concerns often linked with DEI efforts but may contribute to a negative attitude toward the process infect. About this, more details are depicted in “Inequality” (2023) that the media tends to pay attention to situations where DEI programs seem to be perfunctory, under implemented or misdirected. When DEI initiatives are seen as a superficial effort as just the organization’s way of paying lip service or responding to social demands, the employees often feel that those programs are counterproductive to meritocratic principles or are not genuinely addressing the problem of inequality. It discourages commitment to DEI initiatives and promotes resigning and disengagement instead of people feeling motivated towards their goals as their workplaces foster preset diversity ideals rather than emphasizing employees’ merit. “Diversity: Readiness for DEI or the Bogeyman?” (2023) shows that the media instrumentalizes the discourses of “wokeness” and “reverse discrimination” to create an antagonism of pro-DEI and anti-DEI subject positions.</w:t>
      </w:r>
    </w:p>
    <w:p w14:paraId="6737D602" w14:textId="580513D1" w:rsidR="001D6FE3" w:rsidRPr="001D6FE3" w:rsidRDefault="001D6FE3" w:rsidP="008B4322">
      <w:pPr>
        <w:spacing w:line="480" w:lineRule="auto"/>
        <w:ind w:firstLine="720"/>
        <w:jc w:val="both"/>
      </w:pPr>
      <w:r w:rsidRPr="001D6FE3">
        <w:t xml:space="preserve">The media also increases the tension that is at times witnessed within organizations, especially where DEI practices are politically charged. The perception of DEI programs as proxy </w:t>
      </w:r>
      <w:r w:rsidRPr="001D6FE3">
        <w:lastRenderedPageBreak/>
        <w:t>for culture wars can cause offense to staff who are uneasy with the transitions the programs usher in. People can thus resist DEI initiatives because they may seem as an imposition and especially where the social context is not willing to deal with the issues that cultural diversity presents.</w:t>
      </w:r>
    </w:p>
    <w:p w14:paraId="641A0A41" w14:textId="1163F1D3" w:rsidR="001D6FE3" w:rsidRPr="001D6FE3" w:rsidRDefault="001D6FE3" w:rsidP="008B4322">
      <w:pPr>
        <w:spacing w:line="480" w:lineRule="auto"/>
        <w:ind w:firstLine="720"/>
        <w:jc w:val="both"/>
      </w:pPr>
      <w:r w:rsidRPr="001D6FE3">
        <w:t>To overcome this, organizations can use the media in disseminating success stories in effective implementation of DEI strategies hence washing out the negative image. When media coverage focuses on positive cultural change which may take years to manifest and where the organizations’ commitment is evident, this will assist in changing the views of the employees about these DEI.</w:t>
      </w:r>
    </w:p>
    <w:p w14:paraId="56083F4C" w14:textId="77777777" w:rsidR="001D6FE3" w:rsidRPr="001D6FE3" w:rsidRDefault="001D6FE3" w:rsidP="001D6FE3">
      <w:pPr>
        <w:spacing w:line="480" w:lineRule="auto"/>
        <w:ind w:firstLine="720"/>
      </w:pPr>
    </w:p>
    <w:p w14:paraId="15711EBA" w14:textId="77777777" w:rsidR="001D6FE3" w:rsidRPr="001D6FE3" w:rsidRDefault="001D6FE3" w:rsidP="001D6FE3">
      <w:pPr>
        <w:spacing w:line="480" w:lineRule="auto"/>
        <w:ind w:firstLine="720"/>
      </w:pPr>
      <w:r w:rsidRPr="001D6FE3">
        <w:rPr>
          <w:b/>
          <w:bCs/>
        </w:rPr>
        <w:t>Conclusion</w:t>
      </w:r>
    </w:p>
    <w:p w14:paraId="2FB4906D" w14:textId="4021608B" w:rsidR="001D6FE3" w:rsidRPr="001D6FE3" w:rsidRDefault="001D6FE3" w:rsidP="00B26F23">
      <w:pPr>
        <w:spacing w:line="480" w:lineRule="auto"/>
        <w:ind w:firstLine="720"/>
        <w:jc w:val="both"/>
      </w:pPr>
      <w:r w:rsidRPr="001D6FE3">
        <w:t>So, in essence, media portrayals of DEI efforts create either a supportive environment or elicit employees’ backlash. Strong and encouraging coverage that focuses on value and inclusion is more likely to encourage people to participate whereas unfavorable coverage that brings in aspect of challenges or perceived failure is likely to face resistance and skepticism hence reducing the impact of these measures within organizations.</w:t>
      </w:r>
    </w:p>
    <w:p w14:paraId="732F2322" w14:textId="77777777" w:rsidR="009A7ABB" w:rsidRPr="001D6FE3" w:rsidRDefault="009A7ABB" w:rsidP="00B26F23">
      <w:pPr>
        <w:spacing w:line="480" w:lineRule="auto"/>
        <w:ind w:firstLine="720"/>
        <w:jc w:val="both"/>
        <w:rPr>
          <w:rFonts w:eastAsia="Calibri"/>
          <w:color w:val="000000"/>
          <w:kern w:val="2"/>
          <w14:ligatures w14:val="standardContextual"/>
        </w:rPr>
      </w:pPr>
    </w:p>
    <w:p w14:paraId="7263C775" w14:textId="77777777" w:rsidR="009A7ABB" w:rsidRPr="001D6FE3" w:rsidRDefault="009A7ABB" w:rsidP="009A7ABB">
      <w:pPr>
        <w:spacing w:line="480" w:lineRule="auto"/>
        <w:ind w:firstLine="720"/>
        <w:rPr>
          <w:rFonts w:eastAsia="Calibri"/>
          <w:color w:val="000000"/>
          <w:kern w:val="2"/>
          <w14:ligatures w14:val="standardContextual"/>
        </w:rPr>
      </w:pPr>
    </w:p>
    <w:p w14:paraId="78E7DA4C" w14:textId="77777777" w:rsidR="009A7ABB" w:rsidRPr="001D6FE3" w:rsidRDefault="009A7ABB" w:rsidP="009A7ABB">
      <w:pPr>
        <w:spacing w:line="480" w:lineRule="auto"/>
        <w:ind w:firstLine="720"/>
        <w:rPr>
          <w:rFonts w:eastAsia="Calibri"/>
          <w:color w:val="000000"/>
          <w:kern w:val="2"/>
          <w14:ligatures w14:val="standardContextual"/>
        </w:rPr>
      </w:pPr>
    </w:p>
    <w:p w14:paraId="71AE8D1E" w14:textId="77777777" w:rsidR="009A7ABB" w:rsidRPr="001D6FE3" w:rsidRDefault="009A7ABB" w:rsidP="009A7ABB">
      <w:pPr>
        <w:spacing w:line="480" w:lineRule="auto"/>
        <w:ind w:firstLine="720"/>
        <w:rPr>
          <w:rFonts w:eastAsia="Calibri"/>
          <w:color w:val="000000"/>
          <w:kern w:val="2"/>
          <w14:ligatures w14:val="standardContextual"/>
        </w:rPr>
      </w:pPr>
    </w:p>
    <w:p w14:paraId="5068AD4F" w14:textId="77777777" w:rsidR="009A7ABB" w:rsidRPr="001D6FE3" w:rsidRDefault="009A7ABB" w:rsidP="009A7ABB">
      <w:pPr>
        <w:spacing w:line="480" w:lineRule="auto"/>
        <w:ind w:firstLine="720"/>
        <w:rPr>
          <w:rFonts w:eastAsia="Calibri"/>
          <w:color w:val="000000"/>
          <w:kern w:val="2"/>
          <w14:ligatures w14:val="standardContextual"/>
        </w:rPr>
      </w:pPr>
    </w:p>
    <w:p w14:paraId="5FC249A1" w14:textId="02AFD5D7" w:rsidR="000455F6" w:rsidRPr="001D6FE3" w:rsidRDefault="000455F6" w:rsidP="005E7146">
      <w:pPr>
        <w:spacing w:line="480" w:lineRule="auto"/>
        <w:jc w:val="center"/>
        <w:rPr>
          <w:color w:val="000000"/>
          <w:highlight w:val="yellow"/>
        </w:rPr>
      </w:pPr>
      <w:r w:rsidRPr="001D6FE3">
        <w:rPr>
          <w:color w:val="000000"/>
        </w:rPr>
        <w:br w:type="page"/>
      </w:r>
      <w:r w:rsidRPr="001D6FE3">
        <w:rPr>
          <w:b/>
          <w:color w:val="000000"/>
        </w:rPr>
        <w:lastRenderedPageBreak/>
        <w:t>References</w:t>
      </w:r>
    </w:p>
    <w:p w14:paraId="166716DA" w14:textId="77777777" w:rsidR="00CC7101" w:rsidRPr="00CC7101"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CC7101">
        <w:rPr>
          <w:lang w:val="en-AU"/>
        </w:rPr>
        <w:t>David Livemore. (2023, April 14). </w:t>
      </w:r>
      <w:r w:rsidRPr="00CC7101">
        <w:rPr>
          <w:i/>
          <w:iCs/>
          <w:lang w:val="en-AU"/>
        </w:rPr>
        <w:t>To Sound Like a Culturally Intelligent Leader, Change How You Talk - David Livermore</w:t>
      </w:r>
      <w:r w:rsidRPr="00CC7101">
        <w:rPr>
          <w:lang w:val="en-AU"/>
        </w:rPr>
        <w:t>. David Livermore - Thought Leadership in Cultural Intelligence. https://davidlivermore.com/2023/04/14/to-sound-like-a-leader-change-how-you-talk/</w:t>
      </w:r>
    </w:p>
    <w:p w14:paraId="0BE47686" w14:textId="77777777" w:rsidR="00CC7101" w:rsidRPr="00CC7101"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CC7101">
        <w:rPr>
          <w:lang w:val="en-AU"/>
        </w:rPr>
        <w:t>Green, D. (2021). </w:t>
      </w:r>
      <w:r w:rsidRPr="00CC7101">
        <w:rPr>
          <w:i/>
          <w:iCs/>
          <w:lang w:val="en-AU"/>
        </w:rPr>
        <w:t>Diversity, Equity, and Inclusion in the Workplace — Trends for 2021</w:t>
      </w:r>
      <w:r w:rsidRPr="00CC7101">
        <w:rPr>
          <w:lang w:val="en-AU"/>
        </w:rPr>
        <w:t>. SCORE. https://www.score.org/resource/blog-post/diversity-equity-and-inclusion-workplace-%E2%80%94-trends-2021</w:t>
      </w:r>
    </w:p>
    <w:p w14:paraId="56A3B78A" w14:textId="77777777" w:rsidR="00CC7101" w:rsidRPr="00CC7101"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CC7101">
        <w:rPr>
          <w:lang w:val="en-AU"/>
        </w:rPr>
        <w:t>Livermore, D. (2023, July 5). </w:t>
      </w:r>
      <w:r w:rsidRPr="00CC7101">
        <w:rPr>
          <w:i/>
          <w:iCs/>
          <w:lang w:val="en-AU"/>
        </w:rPr>
        <w:t>Culturally intelligent teams: different values, same norms</w:t>
      </w:r>
      <w:r w:rsidRPr="00CC7101">
        <w:rPr>
          <w:lang w:val="en-AU"/>
        </w:rPr>
        <w:t>. Management-Issues.com. https://www.management-issues.com/opinion/7475/culturally-intelligent-teams-different-values-same-norms/</w:t>
      </w:r>
    </w:p>
    <w:p w14:paraId="61C50033" w14:textId="77777777" w:rsidR="00CC7101" w:rsidRPr="00CC7101"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CC7101">
        <w:rPr>
          <w:lang w:val="en-AU"/>
        </w:rPr>
        <w:t>Myers, M. (2023, April 10). </w:t>
      </w:r>
      <w:r w:rsidRPr="00CC7101">
        <w:rPr>
          <w:i/>
          <w:iCs/>
          <w:lang w:val="en-AU"/>
        </w:rPr>
        <w:t>Diversity: Necessary for readiness or the bogeyman?</w:t>
      </w:r>
      <w:r w:rsidRPr="00CC7101">
        <w:rPr>
          <w:lang w:val="en-AU"/>
        </w:rPr>
        <w:t> Military Times. https://www.militarytimes.com/news/your-military/2023/04/10/the-diversity-bogeyman-is-the-us-too-woke-to-wage-war/</w:t>
      </w:r>
    </w:p>
    <w:p w14:paraId="5DA580EA" w14:textId="5022202A" w:rsidR="00CC7101" w:rsidRPr="001D6FE3"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1D6FE3">
        <w:rPr>
          <w:lang w:val="en-AU"/>
        </w:rPr>
        <w:t>Watson, L. W. (2023). </w:t>
      </w:r>
      <w:r w:rsidRPr="001D6FE3">
        <w:rPr>
          <w:i/>
          <w:iCs/>
          <w:lang w:val="en-AU"/>
        </w:rPr>
        <w:t>How to Leverage Emotional, Social, and Cultural Intelligence to Enhance Professional Lives</w:t>
      </w:r>
      <w:r w:rsidRPr="001D6FE3">
        <w:rPr>
          <w:lang w:val="en-AU"/>
        </w:rPr>
        <w:t>. Higheredjobs.com.</w:t>
      </w:r>
      <w:r w:rsidR="003E1753">
        <w:rPr>
          <w:lang w:val="en-AU"/>
        </w:rPr>
        <w:t xml:space="preserve"> </w:t>
      </w:r>
      <w:bookmarkStart w:id="0" w:name="_GoBack"/>
      <w:bookmarkEnd w:id="0"/>
      <w:r w:rsidRPr="001D6FE3">
        <w:rPr>
          <w:lang w:val="en-AU"/>
        </w:rPr>
        <w:t>https://www.higheredjobs.com/Articles/articleDisplay.cfm?ID=3411&amp;Title=How%20to%20Leverage%20Emotional%2C%20Social%2C%20and%20Cultural%20Intelligence%20to%20Enhance%20Professional%20Lives</w:t>
      </w:r>
    </w:p>
    <w:p w14:paraId="314F696D" w14:textId="77777777" w:rsidR="00CC7101" w:rsidRPr="001D6FE3"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1D6FE3">
        <w:rPr>
          <w:lang w:val="en-AU"/>
        </w:rPr>
        <w:t>World Economic Forum. (2023, January 13). </w:t>
      </w:r>
      <w:r w:rsidRPr="001D6FE3">
        <w:rPr>
          <w:i/>
          <w:iCs/>
          <w:lang w:val="en-AU"/>
        </w:rPr>
        <w:t>Global Parity Alliance: Diversity, Equity and Inclusion Lighthouses 2023</w:t>
      </w:r>
      <w:r w:rsidRPr="001D6FE3">
        <w:rPr>
          <w:lang w:val="en-AU"/>
        </w:rPr>
        <w:t>. World Economic Forum. https://www.weforum.org/publications/global-parity-alliance-diversity-equity-and-inclusion-lighthouses-2023/</w:t>
      </w:r>
    </w:p>
    <w:p w14:paraId="4E8C3AF6" w14:textId="77777777" w:rsidR="00CC7101" w:rsidRPr="001D6FE3" w:rsidRDefault="00CC7101" w:rsidP="00CC7101">
      <w:pPr>
        <w:tabs>
          <w:tab w:val="left" w:pos="0"/>
        </w:tabs>
        <w:overflowPunct w:val="0"/>
        <w:autoSpaceDE w:val="0"/>
        <w:autoSpaceDN w:val="0"/>
        <w:adjustRightInd w:val="0"/>
        <w:spacing w:line="480" w:lineRule="auto"/>
        <w:ind w:left="567" w:hanging="567"/>
        <w:textAlignment w:val="baseline"/>
        <w:rPr>
          <w:lang w:val="en-AU"/>
        </w:rPr>
      </w:pPr>
      <w:r w:rsidRPr="001D6FE3">
        <w:rPr>
          <w:lang w:val="en-AU"/>
        </w:rPr>
        <w:lastRenderedPageBreak/>
        <w:t>World Economic Forum. (2024). </w:t>
      </w:r>
      <w:r w:rsidRPr="001D6FE3">
        <w:rPr>
          <w:i/>
          <w:iCs/>
          <w:lang w:val="en-AU"/>
        </w:rPr>
        <w:t>Strategic Intelligence | World Economic Forum</w:t>
      </w:r>
      <w:r w:rsidRPr="001D6FE3">
        <w:rPr>
          <w:lang w:val="en-AU"/>
        </w:rPr>
        <w:t>. Stategic Intelligence; Strategic Intelligence. https://intelligence.weforum.org/topics/a1G0X000006NwUZUA0</w:t>
      </w:r>
    </w:p>
    <w:p w14:paraId="0DC0854C" w14:textId="77777777" w:rsidR="00CC7101" w:rsidRPr="00CC7101" w:rsidRDefault="00CC7101" w:rsidP="00CC7101">
      <w:pPr>
        <w:tabs>
          <w:tab w:val="left" w:pos="360"/>
        </w:tabs>
        <w:overflowPunct w:val="0"/>
        <w:autoSpaceDE w:val="0"/>
        <w:autoSpaceDN w:val="0"/>
        <w:adjustRightInd w:val="0"/>
        <w:spacing w:line="480" w:lineRule="auto"/>
        <w:ind w:left="-360"/>
        <w:jc w:val="center"/>
        <w:textAlignment w:val="baseline"/>
        <w:rPr>
          <w:lang w:val="en-AU"/>
        </w:rPr>
      </w:pPr>
      <w:r w:rsidRPr="00CC7101">
        <w:rPr>
          <w:lang w:val="en-AU"/>
        </w:rPr>
        <w:t>‌</w:t>
      </w:r>
    </w:p>
    <w:p w14:paraId="0C520018" w14:textId="77777777" w:rsidR="00A42F13" w:rsidRPr="001D6FE3" w:rsidRDefault="00A42F13" w:rsidP="00B224B6">
      <w:pPr>
        <w:spacing w:line="480" w:lineRule="auto"/>
        <w:jc w:val="center"/>
        <w:rPr>
          <w:color w:val="000000"/>
        </w:rPr>
      </w:pPr>
    </w:p>
    <w:sectPr w:rsidR="00A42F13" w:rsidRPr="001D6FE3" w:rsidSect="00653666">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6557" w14:textId="77777777" w:rsidR="00653235" w:rsidRPr="001D6FE3" w:rsidRDefault="00653235">
      <w:r w:rsidRPr="001D6FE3">
        <w:separator/>
      </w:r>
    </w:p>
    <w:p w14:paraId="4F849DA9" w14:textId="77777777" w:rsidR="00653235" w:rsidRPr="001D6FE3" w:rsidRDefault="00653235"/>
  </w:endnote>
  <w:endnote w:type="continuationSeparator" w:id="0">
    <w:p w14:paraId="1D6824F0" w14:textId="77777777" w:rsidR="00653235" w:rsidRPr="001D6FE3" w:rsidRDefault="00653235">
      <w:r w:rsidRPr="001D6FE3">
        <w:continuationSeparator/>
      </w:r>
    </w:p>
    <w:p w14:paraId="3F5DBAC4" w14:textId="77777777" w:rsidR="00653235" w:rsidRPr="001D6FE3" w:rsidRDefault="0065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C0111" w14:textId="77777777" w:rsidR="00653235" w:rsidRPr="001D6FE3" w:rsidRDefault="00653235">
      <w:r w:rsidRPr="001D6FE3">
        <w:separator/>
      </w:r>
    </w:p>
    <w:p w14:paraId="0971C005" w14:textId="77777777" w:rsidR="00653235" w:rsidRPr="001D6FE3" w:rsidRDefault="00653235"/>
  </w:footnote>
  <w:footnote w:type="continuationSeparator" w:id="0">
    <w:p w14:paraId="161C1364" w14:textId="77777777" w:rsidR="00653235" w:rsidRPr="001D6FE3" w:rsidRDefault="00653235">
      <w:r w:rsidRPr="001D6FE3">
        <w:continuationSeparator/>
      </w:r>
    </w:p>
    <w:p w14:paraId="4E20A2A4" w14:textId="77777777" w:rsidR="00653235" w:rsidRPr="001D6FE3" w:rsidRDefault="006532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E0E2" w14:textId="74F55A97" w:rsidR="00653666" w:rsidRPr="001D6FE3" w:rsidRDefault="00653666" w:rsidP="00026142">
    <w:pPr>
      <w:pStyle w:val="Header"/>
      <w:framePr w:wrap="around" w:vAnchor="text" w:hAnchor="margin" w:xAlign="right" w:y="1"/>
      <w:rPr>
        <w:rStyle w:val="PageNumber"/>
      </w:rPr>
    </w:pPr>
    <w:r w:rsidRPr="001D6FE3">
      <w:rPr>
        <w:rStyle w:val="PageNumber"/>
      </w:rPr>
      <w:fldChar w:fldCharType="begin"/>
    </w:r>
    <w:r w:rsidRPr="001D6FE3">
      <w:rPr>
        <w:rStyle w:val="PageNumber"/>
      </w:rPr>
      <w:instrText xml:space="preserve">PAGE  </w:instrText>
    </w:r>
    <w:r w:rsidRPr="001D6FE3">
      <w:rPr>
        <w:rStyle w:val="PageNumber"/>
      </w:rPr>
      <w:fldChar w:fldCharType="separate"/>
    </w:r>
    <w:r w:rsidR="003E1753">
      <w:rPr>
        <w:rStyle w:val="PageNumber"/>
        <w:noProof/>
      </w:rPr>
      <w:t>9</w:t>
    </w:r>
    <w:r w:rsidRPr="001D6FE3">
      <w:rPr>
        <w:rStyle w:val="PageNumber"/>
      </w:rPr>
      <w:fldChar w:fldCharType="end"/>
    </w:r>
  </w:p>
  <w:p w14:paraId="0ECDF87A" w14:textId="146B3EA6" w:rsidR="00653666" w:rsidRPr="001D6FE3" w:rsidRDefault="00DB0810" w:rsidP="003F5158">
    <w:pPr>
      <w:pStyle w:val="Header"/>
      <w:ind w:right="360"/>
      <w:rPr>
        <w:sz w:val="22"/>
        <w:szCs w:val="22"/>
      </w:rPr>
    </w:pPr>
    <w:r w:rsidRPr="001D6FE3">
      <w:t>MGT501</w:t>
    </w:r>
    <w:r w:rsidR="00653666" w:rsidRPr="001D6FE3">
      <w:t xml:space="preserve"> </w:t>
    </w:r>
    <w:r w:rsidR="00BC788F" w:rsidRPr="001D6FE3">
      <w:t>Case 3</w:t>
    </w:r>
  </w:p>
  <w:p w14:paraId="234165C7" w14:textId="77777777" w:rsidR="00A07EFE" w:rsidRPr="001D6FE3" w:rsidRDefault="00A07EF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D4747B"/>
    <w:multiLevelType w:val="hybridMultilevel"/>
    <w:tmpl w:val="9A92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97ACC"/>
    <w:multiLevelType w:val="hybridMultilevel"/>
    <w:tmpl w:val="7E56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60D51"/>
    <w:multiLevelType w:val="hybridMultilevel"/>
    <w:tmpl w:val="B6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20368"/>
    <w:multiLevelType w:val="hybridMultilevel"/>
    <w:tmpl w:val="DC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C31EBA"/>
    <w:multiLevelType w:val="hybridMultilevel"/>
    <w:tmpl w:val="E72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30"/>
  </w:num>
  <w:num w:numId="5">
    <w:abstractNumId w:val="1"/>
  </w:num>
  <w:num w:numId="6">
    <w:abstractNumId w:val="34"/>
  </w:num>
  <w:num w:numId="7">
    <w:abstractNumId w:val="31"/>
  </w:num>
  <w:num w:numId="8">
    <w:abstractNumId w:val="13"/>
  </w:num>
  <w:num w:numId="9">
    <w:abstractNumId w:val="2"/>
  </w:num>
  <w:num w:numId="10">
    <w:abstractNumId w:val="21"/>
  </w:num>
  <w:num w:numId="11">
    <w:abstractNumId w:val="4"/>
  </w:num>
  <w:num w:numId="12">
    <w:abstractNumId w:val="32"/>
  </w:num>
  <w:num w:numId="13">
    <w:abstractNumId w:val="33"/>
  </w:num>
  <w:num w:numId="14">
    <w:abstractNumId w:val="27"/>
  </w:num>
  <w:num w:numId="15">
    <w:abstractNumId w:val="37"/>
  </w:num>
  <w:num w:numId="16">
    <w:abstractNumId w:val="24"/>
  </w:num>
  <w:num w:numId="17">
    <w:abstractNumId w:val="38"/>
  </w:num>
  <w:num w:numId="18">
    <w:abstractNumId w:val="8"/>
  </w:num>
  <w:num w:numId="19">
    <w:abstractNumId w:val="6"/>
  </w:num>
  <w:num w:numId="20">
    <w:abstractNumId w:val="14"/>
  </w:num>
  <w:num w:numId="21">
    <w:abstractNumId w:val="25"/>
  </w:num>
  <w:num w:numId="22">
    <w:abstractNumId w:val="9"/>
  </w:num>
  <w:num w:numId="23">
    <w:abstractNumId w:val="28"/>
  </w:num>
  <w:num w:numId="24">
    <w:abstractNumId w:val="3"/>
  </w:num>
  <w:num w:numId="25">
    <w:abstractNumId w:val="35"/>
  </w:num>
  <w:num w:numId="26">
    <w:abstractNumId w:val="23"/>
  </w:num>
  <w:num w:numId="27">
    <w:abstractNumId w:val="11"/>
  </w:num>
  <w:num w:numId="28">
    <w:abstractNumId w:val="5"/>
  </w:num>
  <w:num w:numId="29">
    <w:abstractNumId w:val="36"/>
  </w:num>
  <w:num w:numId="30">
    <w:abstractNumId w:val="15"/>
  </w:num>
  <w:num w:numId="31">
    <w:abstractNumId w:val="0"/>
  </w:num>
  <w:num w:numId="32">
    <w:abstractNumId w:val="12"/>
  </w:num>
  <w:num w:numId="33">
    <w:abstractNumId w:val="16"/>
  </w:num>
  <w:num w:numId="34">
    <w:abstractNumId w:val="19"/>
  </w:num>
  <w:num w:numId="35">
    <w:abstractNumId w:val="26"/>
  </w:num>
  <w:num w:numId="36">
    <w:abstractNumId w:val="29"/>
  </w:num>
  <w:num w:numId="37">
    <w:abstractNumId w:val="10"/>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0MzYztzC3MDE0MDFR0lEKTi0uzszPAykwNq4FAGxrJfMtAAAA"/>
  </w:docVars>
  <w:rsids>
    <w:rsidRoot w:val="0050433C"/>
    <w:rsid w:val="0002399C"/>
    <w:rsid w:val="00026142"/>
    <w:rsid w:val="0003472F"/>
    <w:rsid w:val="000455F6"/>
    <w:rsid w:val="00047143"/>
    <w:rsid w:val="000511FA"/>
    <w:rsid w:val="0006074E"/>
    <w:rsid w:val="00066B8F"/>
    <w:rsid w:val="00072850"/>
    <w:rsid w:val="00081629"/>
    <w:rsid w:val="00085C7F"/>
    <w:rsid w:val="00096202"/>
    <w:rsid w:val="000A198A"/>
    <w:rsid w:val="000A39A9"/>
    <w:rsid w:val="000B008D"/>
    <w:rsid w:val="000B218C"/>
    <w:rsid w:val="000B6AD6"/>
    <w:rsid w:val="000C144F"/>
    <w:rsid w:val="000C1741"/>
    <w:rsid w:val="000C6AD9"/>
    <w:rsid w:val="000E0F36"/>
    <w:rsid w:val="000F1641"/>
    <w:rsid w:val="00106FDE"/>
    <w:rsid w:val="00107096"/>
    <w:rsid w:val="001147C1"/>
    <w:rsid w:val="00122C18"/>
    <w:rsid w:val="00131A1B"/>
    <w:rsid w:val="001377D4"/>
    <w:rsid w:val="00147909"/>
    <w:rsid w:val="00150EEF"/>
    <w:rsid w:val="00154F49"/>
    <w:rsid w:val="00163836"/>
    <w:rsid w:val="00167D67"/>
    <w:rsid w:val="001758DE"/>
    <w:rsid w:val="00176442"/>
    <w:rsid w:val="00182003"/>
    <w:rsid w:val="001A55A9"/>
    <w:rsid w:val="001D090F"/>
    <w:rsid w:val="001D1CD9"/>
    <w:rsid w:val="001D6FE3"/>
    <w:rsid w:val="001F40F3"/>
    <w:rsid w:val="0020174B"/>
    <w:rsid w:val="0020241D"/>
    <w:rsid w:val="00211094"/>
    <w:rsid w:val="00211D6B"/>
    <w:rsid w:val="0021351E"/>
    <w:rsid w:val="002439C9"/>
    <w:rsid w:val="00253713"/>
    <w:rsid w:val="00256256"/>
    <w:rsid w:val="00286395"/>
    <w:rsid w:val="002A2C9F"/>
    <w:rsid w:val="002B6BFA"/>
    <w:rsid w:val="002C00BE"/>
    <w:rsid w:val="002C7462"/>
    <w:rsid w:val="002D755D"/>
    <w:rsid w:val="002E6180"/>
    <w:rsid w:val="002F7DEF"/>
    <w:rsid w:val="00302BC5"/>
    <w:rsid w:val="00312827"/>
    <w:rsid w:val="00342FE0"/>
    <w:rsid w:val="00345DC4"/>
    <w:rsid w:val="00352229"/>
    <w:rsid w:val="00352E8D"/>
    <w:rsid w:val="00354C36"/>
    <w:rsid w:val="00356E85"/>
    <w:rsid w:val="00361978"/>
    <w:rsid w:val="00364629"/>
    <w:rsid w:val="00364C68"/>
    <w:rsid w:val="003A0026"/>
    <w:rsid w:val="003A1801"/>
    <w:rsid w:val="003B7948"/>
    <w:rsid w:val="003C7F15"/>
    <w:rsid w:val="003D6821"/>
    <w:rsid w:val="003E1753"/>
    <w:rsid w:val="003E42AB"/>
    <w:rsid w:val="003E5F3A"/>
    <w:rsid w:val="003F2F65"/>
    <w:rsid w:val="003F3719"/>
    <w:rsid w:val="003F5158"/>
    <w:rsid w:val="003F62B7"/>
    <w:rsid w:val="003F6818"/>
    <w:rsid w:val="00403444"/>
    <w:rsid w:val="00415754"/>
    <w:rsid w:val="00420274"/>
    <w:rsid w:val="00422016"/>
    <w:rsid w:val="00425A9A"/>
    <w:rsid w:val="00430195"/>
    <w:rsid w:val="00435235"/>
    <w:rsid w:val="00436393"/>
    <w:rsid w:val="00440095"/>
    <w:rsid w:val="0044112E"/>
    <w:rsid w:val="00454CAF"/>
    <w:rsid w:val="00456686"/>
    <w:rsid w:val="004578EE"/>
    <w:rsid w:val="004604B1"/>
    <w:rsid w:val="0046271F"/>
    <w:rsid w:val="00466700"/>
    <w:rsid w:val="004853C2"/>
    <w:rsid w:val="00492DCE"/>
    <w:rsid w:val="0049530B"/>
    <w:rsid w:val="004A3C8E"/>
    <w:rsid w:val="004C1298"/>
    <w:rsid w:val="00502A2F"/>
    <w:rsid w:val="005040FF"/>
    <w:rsid w:val="0050433C"/>
    <w:rsid w:val="0050489F"/>
    <w:rsid w:val="00522766"/>
    <w:rsid w:val="00527508"/>
    <w:rsid w:val="00530A67"/>
    <w:rsid w:val="0053493C"/>
    <w:rsid w:val="00535E7E"/>
    <w:rsid w:val="005412C9"/>
    <w:rsid w:val="005412E4"/>
    <w:rsid w:val="005511A8"/>
    <w:rsid w:val="0055467F"/>
    <w:rsid w:val="00561A56"/>
    <w:rsid w:val="00565081"/>
    <w:rsid w:val="0057635E"/>
    <w:rsid w:val="00581CE2"/>
    <w:rsid w:val="00595B65"/>
    <w:rsid w:val="005A555C"/>
    <w:rsid w:val="005A7035"/>
    <w:rsid w:val="005C4B3D"/>
    <w:rsid w:val="005E5214"/>
    <w:rsid w:val="005E5984"/>
    <w:rsid w:val="005E7146"/>
    <w:rsid w:val="005F3678"/>
    <w:rsid w:val="005F75ED"/>
    <w:rsid w:val="0060394A"/>
    <w:rsid w:val="006124DB"/>
    <w:rsid w:val="00613E79"/>
    <w:rsid w:val="00614C45"/>
    <w:rsid w:val="00625523"/>
    <w:rsid w:val="006416F4"/>
    <w:rsid w:val="006431F1"/>
    <w:rsid w:val="006456EC"/>
    <w:rsid w:val="00653235"/>
    <w:rsid w:val="00653666"/>
    <w:rsid w:val="00660724"/>
    <w:rsid w:val="006624AB"/>
    <w:rsid w:val="00671116"/>
    <w:rsid w:val="00672D33"/>
    <w:rsid w:val="006730B0"/>
    <w:rsid w:val="00674A8C"/>
    <w:rsid w:val="00694801"/>
    <w:rsid w:val="006A5C5E"/>
    <w:rsid w:val="006B25B5"/>
    <w:rsid w:val="006E1EF5"/>
    <w:rsid w:val="006F527A"/>
    <w:rsid w:val="0070200D"/>
    <w:rsid w:val="00711DC4"/>
    <w:rsid w:val="007572B6"/>
    <w:rsid w:val="007A1B1F"/>
    <w:rsid w:val="007D1376"/>
    <w:rsid w:val="007E1727"/>
    <w:rsid w:val="007F79BB"/>
    <w:rsid w:val="008026AA"/>
    <w:rsid w:val="0081017D"/>
    <w:rsid w:val="00824636"/>
    <w:rsid w:val="008255DE"/>
    <w:rsid w:val="00841A9E"/>
    <w:rsid w:val="00841F4A"/>
    <w:rsid w:val="00844EE7"/>
    <w:rsid w:val="00854C46"/>
    <w:rsid w:val="00873554"/>
    <w:rsid w:val="00880C08"/>
    <w:rsid w:val="00883AAD"/>
    <w:rsid w:val="00896609"/>
    <w:rsid w:val="008A084D"/>
    <w:rsid w:val="008B4322"/>
    <w:rsid w:val="008B7F59"/>
    <w:rsid w:val="008C7966"/>
    <w:rsid w:val="008D23AA"/>
    <w:rsid w:val="008D3F0D"/>
    <w:rsid w:val="008D5C02"/>
    <w:rsid w:val="008E469D"/>
    <w:rsid w:val="008F74C4"/>
    <w:rsid w:val="009007D4"/>
    <w:rsid w:val="0091254D"/>
    <w:rsid w:val="009247A1"/>
    <w:rsid w:val="0094570E"/>
    <w:rsid w:val="00954A41"/>
    <w:rsid w:val="00960B22"/>
    <w:rsid w:val="009749F9"/>
    <w:rsid w:val="009758CD"/>
    <w:rsid w:val="00977C3F"/>
    <w:rsid w:val="00990C99"/>
    <w:rsid w:val="00991A50"/>
    <w:rsid w:val="009A3DEA"/>
    <w:rsid w:val="009A7ABB"/>
    <w:rsid w:val="009B6C8F"/>
    <w:rsid w:val="009C36FD"/>
    <w:rsid w:val="009C743D"/>
    <w:rsid w:val="009D375B"/>
    <w:rsid w:val="009D378A"/>
    <w:rsid w:val="00A00D2C"/>
    <w:rsid w:val="00A037C7"/>
    <w:rsid w:val="00A040E2"/>
    <w:rsid w:val="00A07EFE"/>
    <w:rsid w:val="00A13576"/>
    <w:rsid w:val="00A1437D"/>
    <w:rsid w:val="00A225DF"/>
    <w:rsid w:val="00A25ED2"/>
    <w:rsid w:val="00A27F42"/>
    <w:rsid w:val="00A37498"/>
    <w:rsid w:val="00A426A5"/>
    <w:rsid w:val="00A42F13"/>
    <w:rsid w:val="00A4532E"/>
    <w:rsid w:val="00A459DB"/>
    <w:rsid w:val="00A47689"/>
    <w:rsid w:val="00A6361F"/>
    <w:rsid w:val="00A725AF"/>
    <w:rsid w:val="00A75CFC"/>
    <w:rsid w:val="00A93CC1"/>
    <w:rsid w:val="00A95E3A"/>
    <w:rsid w:val="00AA3F20"/>
    <w:rsid w:val="00AA76DD"/>
    <w:rsid w:val="00AB186A"/>
    <w:rsid w:val="00AB3DAE"/>
    <w:rsid w:val="00AC1008"/>
    <w:rsid w:val="00AD4FAC"/>
    <w:rsid w:val="00AE1D46"/>
    <w:rsid w:val="00AE3507"/>
    <w:rsid w:val="00B02092"/>
    <w:rsid w:val="00B02A05"/>
    <w:rsid w:val="00B02DD7"/>
    <w:rsid w:val="00B042E8"/>
    <w:rsid w:val="00B068A8"/>
    <w:rsid w:val="00B10C07"/>
    <w:rsid w:val="00B21F03"/>
    <w:rsid w:val="00B224B6"/>
    <w:rsid w:val="00B22E3F"/>
    <w:rsid w:val="00B26F23"/>
    <w:rsid w:val="00B32F73"/>
    <w:rsid w:val="00B342B1"/>
    <w:rsid w:val="00B37F5A"/>
    <w:rsid w:val="00B4235C"/>
    <w:rsid w:val="00B46D48"/>
    <w:rsid w:val="00B6023E"/>
    <w:rsid w:val="00B6034C"/>
    <w:rsid w:val="00B62A78"/>
    <w:rsid w:val="00B742AF"/>
    <w:rsid w:val="00B80515"/>
    <w:rsid w:val="00B8112C"/>
    <w:rsid w:val="00B93D96"/>
    <w:rsid w:val="00BB5960"/>
    <w:rsid w:val="00BC788F"/>
    <w:rsid w:val="00BD1C8D"/>
    <w:rsid w:val="00BD3733"/>
    <w:rsid w:val="00BD6FF4"/>
    <w:rsid w:val="00BE410C"/>
    <w:rsid w:val="00BF7C6E"/>
    <w:rsid w:val="00C16DDC"/>
    <w:rsid w:val="00C21C1C"/>
    <w:rsid w:val="00C22265"/>
    <w:rsid w:val="00C277CE"/>
    <w:rsid w:val="00C31727"/>
    <w:rsid w:val="00C51C2A"/>
    <w:rsid w:val="00C5533D"/>
    <w:rsid w:val="00C74F8E"/>
    <w:rsid w:val="00C769CD"/>
    <w:rsid w:val="00C863E2"/>
    <w:rsid w:val="00C9472F"/>
    <w:rsid w:val="00CA791D"/>
    <w:rsid w:val="00CC057E"/>
    <w:rsid w:val="00CC3628"/>
    <w:rsid w:val="00CC6990"/>
    <w:rsid w:val="00CC7101"/>
    <w:rsid w:val="00CD2528"/>
    <w:rsid w:val="00CE2E66"/>
    <w:rsid w:val="00CF070A"/>
    <w:rsid w:val="00CF088C"/>
    <w:rsid w:val="00D0108C"/>
    <w:rsid w:val="00D02AF3"/>
    <w:rsid w:val="00D13AC0"/>
    <w:rsid w:val="00D172FE"/>
    <w:rsid w:val="00D200BF"/>
    <w:rsid w:val="00D47471"/>
    <w:rsid w:val="00D47CA9"/>
    <w:rsid w:val="00D57D30"/>
    <w:rsid w:val="00D6690E"/>
    <w:rsid w:val="00D7332A"/>
    <w:rsid w:val="00D844B2"/>
    <w:rsid w:val="00D87258"/>
    <w:rsid w:val="00D87EB9"/>
    <w:rsid w:val="00D96DDF"/>
    <w:rsid w:val="00DA07CA"/>
    <w:rsid w:val="00DB0810"/>
    <w:rsid w:val="00DB099B"/>
    <w:rsid w:val="00DB7248"/>
    <w:rsid w:val="00DD0C4D"/>
    <w:rsid w:val="00DD1823"/>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75D3A"/>
    <w:rsid w:val="00E80CFF"/>
    <w:rsid w:val="00E940DC"/>
    <w:rsid w:val="00E94A62"/>
    <w:rsid w:val="00EB211C"/>
    <w:rsid w:val="00EB65C0"/>
    <w:rsid w:val="00EC03B6"/>
    <w:rsid w:val="00ED47C2"/>
    <w:rsid w:val="00ED7EAB"/>
    <w:rsid w:val="00EE51C9"/>
    <w:rsid w:val="00EF1655"/>
    <w:rsid w:val="00EF1CB2"/>
    <w:rsid w:val="00EF57CD"/>
    <w:rsid w:val="00F10A09"/>
    <w:rsid w:val="00F20699"/>
    <w:rsid w:val="00F257CE"/>
    <w:rsid w:val="00F35BE5"/>
    <w:rsid w:val="00F378C4"/>
    <w:rsid w:val="00F43BA1"/>
    <w:rsid w:val="00F468D1"/>
    <w:rsid w:val="00F62922"/>
    <w:rsid w:val="00F64DDA"/>
    <w:rsid w:val="00F7461E"/>
    <w:rsid w:val="00F84528"/>
    <w:rsid w:val="00F8489A"/>
    <w:rsid w:val="00F84D66"/>
    <w:rsid w:val="00F929D2"/>
    <w:rsid w:val="00F93AF8"/>
    <w:rsid w:val="00F96724"/>
    <w:rsid w:val="00F96D0F"/>
    <w:rsid w:val="00F96D5C"/>
    <w:rsid w:val="00FA5606"/>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1D6FE3"/>
    <w:pPr>
      <w:spacing w:line="480" w:lineRule="auto"/>
      <w:jc w:val="center"/>
      <w:outlineLvl w:val="0"/>
    </w:pPr>
    <w:rPr>
      <w:b/>
      <w:bCs/>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6427">
      <w:bodyDiv w:val="1"/>
      <w:marLeft w:val="0"/>
      <w:marRight w:val="0"/>
      <w:marTop w:val="0"/>
      <w:marBottom w:val="0"/>
      <w:divBdr>
        <w:top w:val="none" w:sz="0" w:space="0" w:color="auto"/>
        <w:left w:val="none" w:sz="0" w:space="0" w:color="auto"/>
        <w:bottom w:val="none" w:sz="0" w:space="0" w:color="auto"/>
        <w:right w:val="none" w:sz="0" w:space="0" w:color="auto"/>
      </w:divBdr>
    </w:div>
    <w:div w:id="157426958">
      <w:bodyDiv w:val="1"/>
      <w:marLeft w:val="0"/>
      <w:marRight w:val="0"/>
      <w:marTop w:val="0"/>
      <w:marBottom w:val="0"/>
      <w:divBdr>
        <w:top w:val="none" w:sz="0" w:space="0" w:color="auto"/>
        <w:left w:val="none" w:sz="0" w:space="0" w:color="auto"/>
        <w:bottom w:val="none" w:sz="0" w:space="0" w:color="auto"/>
        <w:right w:val="none" w:sz="0" w:space="0" w:color="auto"/>
      </w:divBdr>
    </w:div>
    <w:div w:id="221328215">
      <w:bodyDiv w:val="1"/>
      <w:marLeft w:val="0"/>
      <w:marRight w:val="0"/>
      <w:marTop w:val="0"/>
      <w:marBottom w:val="0"/>
      <w:divBdr>
        <w:top w:val="none" w:sz="0" w:space="0" w:color="auto"/>
        <w:left w:val="none" w:sz="0" w:space="0" w:color="auto"/>
        <w:bottom w:val="none" w:sz="0" w:space="0" w:color="auto"/>
        <w:right w:val="none" w:sz="0" w:space="0" w:color="auto"/>
      </w:divBdr>
    </w:div>
    <w:div w:id="241526698">
      <w:bodyDiv w:val="1"/>
      <w:marLeft w:val="0"/>
      <w:marRight w:val="0"/>
      <w:marTop w:val="0"/>
      <w:marBottom w:val="0"/>
      <w:divBdr>
        <w:top w:val="none" w:sz="0" w:space="0" w:color="auto"/>
        <w:left w:val="none" w:sz="0" w:space="0" w:color="auto"/>
        <w:bottom w:val="none" w:sz="0" w:space="0" w:color="auto"/>
        <w:right w:val="none" w:sz="0" w:space="0" w:color="auto"/>
      </w:divBdr>
    </w:div>
    <w:div w:id="312760077">
      <w:bodyDiv w:val="1"/>
      <w:marLeft w:val="0"/>
      <w:marRight w:val="0"/>
      <w:marTop w:val="0"/>
      <w:marBottom w:val="0"/>
      <w:divBdr>
        <w:top w:val="none" w:sz="0" w:space="0" w:color="auto"/>
        <w:left w:val="none" w:sz="0" w:space="0" w:color="auto"/>
        <w:bottom w:val="none" w:sz="0" w:space="0" w:color="auto"/>
        <w:right w:val="none" w:sz="0" w:space="0" w:color="auto"/>
      </w:divBdr>
      <w:divsChild>
        <w:div w:id="1625110372">
          <w:marLeft w:val="0"/>
          <w:marRight w:val="0"/>
          <w:marTop w:val="0"/>
          <w:marBottom w:val="0"/>
          <w:divBdr>
            <w:top w:val="none" w:sz="0" w:space="0" w:color="auto"/>
            <w:left w:val="none" w:sz="0" w:space="0" w:color="auto"/>
            <w:bottom w:val="none" w:sz="0" w:space="0" w:color="auto"/>
            <w:right w:val="none" w:sz="0" w:space="0" w:color="auto"/>
          </w:divBdr>
          <w:divsChild>
            <w:div w:id="1549759428">
              <w:marLeft w:val="0"/>
              <w:marRight w:val="0"/>
              <w:marTop w:val="0"/>
              <w:marBottom w:val="0"/>
              <w:divBdr>
                <w:top w:val="none" w:sz="0" w:space="0" w:color="auto"/>
                <w:left w:val="none" w:sz="0" w:space="0" w:color="auto"/>
                <w:bottom w:val="none" w:sz="0" w:space="0" w:color="auto"/>
                <w:right w:val="none" w:sz="0" w:space="0" w:color="auto"/>
              </w:divBdr>
              <w:divsChild>
                <w:div w:id="1481121203">
                  <w:marLeft w:val="0"/>
                  <w:marRight w:val="0"/>
                  <w:marTop w:val="0"/>
                  <w:marBottom w:val="0"/>
                  <w:divBdr>
                    <w:top w:val="none" w:sz="0" w:space="0" w:color="auto"/>
                    <w:left w:val="none" w:sz="0" w:space="0" w:color="auto"/>
                    <w:bottom w:val="none" w:sz="0" w:space="0" w:color="auto"/>
                    <w:right w:val="none" w:sz="0" w:space="0" w:color="auto"/>
                  </w:divBdr>
                  <w:divsChild>
                    <w:div w:id="1734696842">
                      <w:marLeft w:val="0"/>
                      <w:marRight w:val="0"/>
                      <w:marTop w:val="0"/>
                      <w:marBottom w:val="0"/>
                      <w:divBdr>
                        <w:top w:val="none" w:sz="0" w:space="0" w:color="auto"/>
                        <w:left w:val="none" w:sz="0" w:space="0" w:color="auto"/>
                        <w:bottom w:val="none" w:sz="0" w:space="0" w:color="auto"/>
                        <w:right w:val="none" w:sz="0" w:space="0" w:color="auto"/>
                      </w:divBdr>
                      <w:divsChild>
                        <w:div w:id="1206213297">
                          <w:marLeft w:val="0"/>
                          <w:marRight w:val="0"/>
                          <w:marTop w:val="0"/>
                          <w:marBottom w:val="0"/>
                          <w:divBdr>
                            <w:top w:val="none" w:sz="0" w:space="0" w:color="auto"/>
                            <w:left w:val="none" w:sz="0" w:space="0" w:color="auto"/>
                            <w:bottom w:val="none" w:sz="0" w:space="0" w:color="auto"/>
                            <w:right w:val="none" w:sz="0" w:space="0" w:color="auto"/>
                          </w:divBdr>
                          <w:divsChild>
                            <w:div w:id="10430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07581905">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74026117">
      <w:bodyDiv w:val="1"/>
      <w:marLeft w:val="0"/>
      <w:marRight w:val="0"/>
      <w:marTop w:val="0"/>
      <w:marBottom w:val="0"/>
      <w:divBdr>
        <w:top w:val="none" w:sz="0" w:space="0" w:color="auto"/>
        <w:left w:val="none" w:sz="0" w:space="0" w:color="auto"/>
        <w:bottom w:val="none" w:sz="0" w:space="0" w:color="auto"/>
        <w:right w:val="none" w:sz="0" w:space="0" w:color="auto"/>
      </w:divBdr>
    </w:div>
    <w:div w:id="510218431">
      <w:bodyDiv w:val="1"/>
      <w:marLeft w:val="0"/>
      <w:marRight w:val="0"/>
      <w:marTop w:val="0"/>
      <w:marBottom w:val="0"/>
      <w:divBdr>
        <w:top w:val="none" w:sz="0" w:space="0" w:color="auto"/>
        <w:left w:val="none" w:sz="0" w:space="0" w:color="auto"/>
        <w:bottom w:val="none" w:sz="0" w:space="0" w:color="auto"/>
        <w:right w:val="none" w:sz="0" w:space="0" w:color="auto"/>
      </w:divBdr>
    </w:div>
    <w:div w:id="648241860">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835345990">
      <w:bodyDiv w:val="1"/>
      <w:marLeft w:val="0"/>
      <w:marRight w:val="0"/>
      <w:marTop w:val="0"/>
      <w:marBottom w:val="0"/>
      <w:divBdr>
        <w:top w:val="none" w:sz="0" w:space="0" w:color="auto"/>
        <w:left w:val="none" w:sz="0" w:space="0" w:color="auto"/>
        <w:bottom w:val="none" w:sz="0" w:space="0" w:color="auto"/>
        <w:right w:val="none" w:sz="0" w:space="0" w:color="auto"/>
      </w:divBdr>
    </w:div>
    <w:div w:id="865025756">
      <w:bodyDiv w:val="1"/>
      <w:marLeft w:val="0"/>
      <w:marRight w:val="0"/>
      <w:marTop w:val="0"/>
      <w:marBottom w:val="0"/>
      <w:divBdr>
        <w:top w:val="none" w:sz="0" w:space="0" w:color="auto"/>
        <w:left w:val="none" w:sz="0" w:space="0" w:color="auto"/>
        <w:bottom w:val="none" w:sz="0" w:space="0" w:color="auto"/>
        <w:right w:val="none" w:sz="0" w:space="0" w:color="auto"/>
      </w:divBdr>
      <w:divsChild>
        <w:div w:id="1325157843">
          <w:marLeft w:val="0"/>
          <w:marRight w:val="0"/>
          <w:marTop w:val="0"/>
          <w:marBottom w:val="0"/>
          <w:divBdr>
            <w:top w:val="none" w:sz="0" w:space="0" w:color="auto"/>
            <w:left w:val="none" w:sz="0" w:space="0" w:color="auto"/>
            <w:bottom w:val="none" w:sz="0" w:space="0" w:color="auto"/>
            <w:right w:val="none" w:sz="0" w:space="0" w:color="auto"/>
          </w:divBdr>
          <w:divsChild>
            <w:div w:id="1993172898">
              <w:marLeft w:val="0"/>
              <w:marRight w:val="0"/>
              <w:marTop w:val="0"/>
              <w:marBottom w:val="0"/>
              <w:divBdr>
                <w:top w:val="none" w:sz="0" w:space="0" w:color="auto"/>
                <w:left w:val="none" w:sz="0" w:space="0" w:color="auto"/>
                <w:bottom w:val="none" w:sz="0" w:space="0" w:color="auto"/>
                <w:right w:val="none" w:sz="0" w:space="0" w:color="auto"/>
              </w:divBdr>
              <w:divsChild>
                <w:div w:id="1904871664">
                  <w:marLeft w:val="0"/>
                  <w:marRight w:val="0"/>
                  <w:marTop w:val="0"/>
                  <w:marBottom w:val="0"/>
                  <w:divBdr>
                    <w:top w:val="none" w:sz="0" w:space="0" w:color="auto"/>
                    <w:left w:val="none" w:sz="0" w:space="0" w:color="auto"/>
                    <w:bottom w:val="none" w:sz="0" w:space="0" w:color="auto"/>
                    <w:right w:val="none" w:sz="0" w:space="0" w:color="auto"/>
                  </w:divBdr>
                  <w:divsChild>
                    <w:div w:id="2099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78046">
      <w:bodyDiv w:val="1"/>
      <w:marLeft w:val="0"/>
      <w:marRight w:val="0"/>
      <w:marTop w:val="0"/>
      <w:marBottom w:val="0"/>
      <w:divBdr>
        <w:top w:val="none" w:sz="0" w:space="0" w:color="auto"/>
        <w:left w:val="none" w:sz="0" w:space="0" w:color="auto"/>
        <w:bottom w:val="none" w:sz="0" w:space="0" w:color="auto"/>
        <w:right w:val="none" w:sz="0" w:space="0" w:color="auto"/>
      </w:divBdr>
    </w:div>
    <w:div w:id="1156071889">
      <w:bodyDiv w:val="1"/>
      <w:marLeft w:val="0"/>
      <w:marRight w:val="0"/>
      <w:marTop w:val="0"/>
      <w:marBottom w:val="0"/>
      <w:divBdr>
        <w:top w:val="none" w:sz="0" w:space="0" w:color="auto"/>
        <w:left w:val="none" w:sz="0" w:space="0" w:color="auto"/>
        <w:bottom w:val="none" w:sz="0" w:space="0" w:color="auto"/>
        <w:right w:val="none" w:sz="0" w:space="0" w:color="auto"/>
      </w:divBdr>
    </w:div>
    <w:div w:id="1196305846">
      <w:bodyDiv w:val="1"/>
      <w:marLeft w:val="0"/>
      <w:marRight w:val="0"/>
      <w:marTop w:val="0"/>
      <w:marBottom w:val="0"/>
      <w:divBdr>
        <w:top w:val="none" w:sz="0" w:space="0" w:color="auto"/>
        <w:left w:val="none" w:sz="0" w:space="0" w:color="auto"/>
        <w:bottom w:val="none" w:sz="0" w:space="0" w:color="auto"/>
        <w:right w:val="none" w:sz="0" w:space="0" w:color="auto"/>
      </w:divBdr>
    </w:div>
    <w:div w:id="1234657354">
      <w:bodyDiv w:val="1"/>
      <w:marLeft w:val="0"/>
      <w:marRight w:val="0"/>
      <w:marTop w:val="0"/>
      <w:marBottom w:val="0"/>
      <w:divBdr>
        <w:top w:val="none" w:sz="0" w:space="0" w:color="auto"/>
        <w:left w:val="none" w:sz="0" w:space="0" w:color="auto"/>
        <w:bottom w:val="none" w:sz="0" w:space="0" w:color="auto"/>
        <w:right w:val="none" w:sz="0" w:space="0" w:color="auto"/>
      </w:divBdr>
    </w:div>
    <w:div w:id="1363702002">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53399276">
      <w:bodyDiv w:val="1"/>
      <w:marLeft w:val="0"/>
      <w:marRight w:val="0"/>
      <w:marTop w:val="0"/>
      <w:marBottom w:val="0"/>
      <w:divBdr>
        <w:top w:val="none" w:sz="0" w:space="0" w:color="auto"/>
        <w:left w:val="none" w:sz="0" w:space="0" w:color="auto"/>
        <w:bottom w:val="none" w:sz="0" w:space="0" w:color="auto"/>
        <w:right w:val="none" w:sz="0" w:space="0" w:color="auto"/>
      </w:divBdr>
    </w:div>
    <w:div w:id="1473594465">
      <w:bodyDiv w:val="1"/>
      <w:marLeft w:val="0"/>
      <w:marRight w:val="0"/>
      <w:marTop w:val="0"/>
      <w:marBottom w:val="0"/>
      <w:divBdr>
        <w:top w:val="none" w:sz="0" w:space="0" w:color="auto"/>
        <w:left w:val="none" w:sz="0" w:space="0" w:color="auto"/>
        <w:bottom w:val="none" w:sz="0" w:space="0" w:color="auto"/>
        <w:right w:val="none" w:sz="0" w:space="0" w:color="auto"/>
      </w:divBdr>
    </w:div>
    <w:div w:id="1510482282">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91280108">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29118289">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48709999">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49776035">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7623">
      <w:bodyDiv w:val="1"/>
      <w:marLeft w:val="0"/>
      <w:marRight w:val="0"/>
      <w:marTop w:val="0"/>
      <w:marBottom w:val="0"/>
      <w:divBdr>
        <w:top w:val="none" w:sz="0" w:space="0" w:color="auto"/>
        <w:left w:val="none" w:sz="0" w:space="0" w:color="auto"/>
        <w:bottom w:val="none" w:sz="0" w:space="0" w:color="auto"/>
        <w:right w:val="none" w:sz="0" w:space="0" w:color="auto"/>
      </w:divBdr>
    </w:div>
    <w:div w:id="20676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1800</Words>
  <Characters>10260</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2023-09-05T16:08:00Z</dcterms:created>
  <dcterms:modified xsi:type="dcterms:W3CDTF">2024-11-22T13:02:00Z</dcterms:modified>
</cp:coreProperties>
</file>