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F4330" w14:textId="37E0F271" w:rsidR="008721EC" w:rsidRPr="008721EC" w:rsidRDefault="008721EC" w:rsidP="008721EC">
      <w:pPr>
        <w:spacing w:line="360" w:lineRule="auto"/>
        <w:rPr>
          <w:rFonts w:ascii="Times New Roman" w:hAnsi="Times New Roman" w:cs="Times New Roman"/>
          <w:sz w:val="24"/>
          <w:szCs w:val="24"/>
          <w:lang w:val="en-GB"/>
        </w:rPr>
      </w:pPr>
      <w:r w:rsidRPr="008721EC">
        <w:rPr>
          <w:rFonts w:ascii="Times New Roman" w:hAnsi="Times New Roman" w:cs="Times New Roman"/>
          <w:sz w:val="24"/>
          <w:szCs w:val="24"/>
          <w:lang w:val="en-GB"/>
        </w:rPr>
        <w:t>Slide 1</w:t>
      </w:r>
    </w:p>
    <w:p w14:paraId="621DD94F" w14:textId="77777777" w:rsidR="008721EC" w:rsidRPr="008721EC" w:rsidRDefault="008721EC" w:rsidP="008721EC">
      <w:pPr>
        <w:spacing w:line="360" w:lineRule="auto"/>
        <w:rPr>
          <w:rFonts w:ascii="Times New Roman" w:hAnsi="Times New Roman" w:cs="Times New Roman"/>
          <w:sz w:val="24"/>
          <w:szCs w:val="24"/>
          <w:lang w:val="en-GB"/>
        </w:rPr>
      </w:pPr>
    </w:p>
    <w:p w14:paraId="170BCEBD" w14:textId="24DD81C3" w:rsidR="008721EC" w:rsidRPr="008721EC" w:rsidRDefault="008721EC" w:rsidP="008721EC">
      <w:pPr>
        <w:spacing w:line="360" w:lineRule="auto"/>
        <w:jc w:val="center"/>
        <w:rPr>
          <w:rFonts w:ascii="Times New Roman" w:hAnsi="Times New Roman" w:cs="Times New Roman"/>
          <w:sz w:val="24"/>
          <w:szCs w:val="24"/>
          <w:lang w:val="en-GB"/>
        </w:rPr>
      </w:pPr>
      <w:r w:rsidRPr="008721EC">
        <w:rPr>
          <w:rFonts w:ascii="Times New Roman" w:hAnsi="Times New Roman" w:cs="Times New Roman"/>
          <w:sz w:val="24"/>
          <w:szCs w:val="24"/>
          <w:lang w:val="en-GB"/>
        </w:rPr>
        <w:object w:dxaOrig="9605" w:dyaOrig="5393" w14:anchorId="3E579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5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93575572" r:id="rId5"/>
        </w:object>
      </w:r>
    </w:p>
    <w:p w14:paraId="6D4C0588" w14:textId="77777777" w:rsidR="008721EC" w:rsidRPr="008721EC" w:rsidRDefault="008721EC" w:rsidP="008721EC">
      <w:pPr>
        <w:spacing w:line="360" w:lineRule="auto"/>
        <w:jc w:val="center"/>
        <w:rPr>
          <w:rFonts w:ascii="Times New Roman" w:hAnsi="Times New Roman" w:cs="Times New Roman"/>
          <w:sz w:val="24"/>
          <w:szCs w:val="24"/>
          <w:lang w:val="en-GB"/>
        </w:rPr>
      </w:pPr>
    </w:p>
    <w:p w14:paraId="1584426D" w14:textId="77777777" w:rsidR="008721EC" w:rsidRPr="008721EC" w:rsidRDefault="008721EC" w:rsidP="008721EC">
      <w:pPr>
        <w:spacing w:line="360" w:lineRule="auto"/>
        <w:rPr>
          <w:rFonts w:ascii="Times New Roman" w:hAnsi="Times New Roman" w:cs="Times New Roman"/>
          <w:sz w:val="24"/>
          <w:szCs w:val="24"/>
          <w:lang w:val="en-GB"/>
        </w:rPr>
      </w:pPr>
    </w:p>
    <w:p w14:paraId="4B687238" w14:textId="41A62081" w:rsidR="008721EC" w:rsidRPr="008721EC" w:rsidRDefault="008721EC">
      <w:pPr>
        <w:rPr>
          <w:rFonts w:ascii="Times New Roman" w:hAnsi="Times New Roman" w:cs="Times New Roman"/>
          <w:sz w:val="24"/>
          <w:szCs w:val="24"/>
          <w:lang w:val="en-GB"/>
        </w:rPr>
      </w:pPr>
      <w:r w:rsidRPr="008721EC">
        <w:rPr>
          <w:rFonts w:ascii="Times New Roman" w:hAnsi="Times New Roman" w:cs="Times New Roman"/>
          <w:sz w:val="24"/>
          <w:szCs w:val="24"/>
          <w:lang w:val="en-GB"/>
        </w:rPr>
        <w:br w:type="page"/>
      </w:r>
    </w:p>
    <w:p w14:paraId="1D39D526" w14:textId="4EB2D5F1" w:rsidR="008721EC" w:rsidRPr="008721EC" w:rsidRDefault="008721EC" w:rsidP="008721EC">
      <w:pPr>
        <w:spacing w:line="360" w:lineRule="auto"/>
        <w:rPr>
          <w:rFonts w:ascii="Times New Roman" w:hAnsi="Times New Roman" w:cs="Times New Roman"/>
          <w:sz w:val="24"/>
          <w:szCs w:val="24"/>
          <w:lang w:val="en-GB"/>
        </w:rPr>
      </w:pPr>
      <w:r w:rsidRPr="008721EC">
        <w:rPr>
          <w:rFonts w:ascii="Times New Roman" w:hAnsi="Times New Roman" w:cs="Times New Roman"/>
          <w:sz w:val="24"/>
          <w:szCs w:val="24"/>
          <w:lang w:val="en-GB"/>
        </w:rPr>
        <w:lastRenderedPageBreak/>
        <w:t>Slide 2</w:t>
      </w:r>
    </w:p>
    <w:p w14:paraId="7BC9D68D" w14:textId="77777777" w:rsidR="008721EC" w:rsidRPr="008721EC" w:rsidRDefault="008721EC" w:rsidP="008721EC">
      <w:pPr>
        <w:spacing w:line="360" w:lineRule="auto"/>
        <w:rPr>
          <w:rFonts w:ascii="Times New Roman" w:hAnsi="Times New Roman" w:cs="Times New Roman"/>
          <w:sz w:val="24"/>
          <w:szCs w:val="24"/>
          <w:lang w:val="en-GB"/>
        </w:rPr>
      </w:pPr>
    </w:p>
    <w:p w14:paraId="645EFBAC" w14:textId="531645D3" w:rsidR="008721EC" w:rsidRPr="008721EC" w:rsidRDefault="008721EC" w:rsidP="008721EC">
      <w:pPr>
        <w:spacing w:line="360" w:lineRule="auto"/>
        <w:jc w:val="center"/>
        <w:rPr>
          <w:rFonts w:ascii="Times New Roman" w:hAnsi="Times New Roman" w:cs="Times New Roman"/>
          <w:sz w:val="24"/>
          <w:szCs w:val="24"/>
          <w:lang w:val="en-GB"/>
        </w:rPr>
      </w:pPr>
      <w:r w:rsidRPr="008721EC">
        <w:rPr>
          <w:rFonts w:ascii="Times New Roman" w:hAnsi="Times New Roman" w:cs="Times New Roman"/>
          <w:sz w:val="24"/>
          <w:szCs w:val="24"/>
          <w:lang w:val="en-GB"/>
        </w:rPr>
        <w:object w:dxaOrig="9605" w:dyaOrig="5393" w14:anchorId="10A957D0">
          <v:shape id="_x0000_i1030" type="#_x0000_t75" style="width:5in;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0" DrawAspect="Content" ObjectID="_1793575573" r:id="rId7"/>
        </w:object>
      </w:r>
    </w:p>
    <w:p w14:paraId="15501168" w14:textId="77777777" w:rsidR="008721EC" w:rsidRPr="008721EC" w:rsidRDefault="008721EC" w:rsidP="008721EC">
      <w:pPr>
        <w:spacing w:line="360" w:lineRule="auto"/>
        <w:jc w:val="center"/>
        <w:rPr>
          <w:rFonts w:ascii="Times New Roman" w:hAnsi="Times New Roman" w:cs="Times New Roman"/>
          <w:sz w:val="24"/>
          <w:szCs w:val="24"/>
          <w:lang w:val="en-GB"/>
        </w:rPr>
      </w:pPr>
    </w:p>
    <w:p w14:paraId="387EAA85" w14:textId="0D3AA3C1" w:rsidR="008721EC" w:rsidRPr="008721EC" w:rsidRDefault="008721EC" w:rsidP="008721EC">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721EC">
        <w:rPr>
          <w:rFonts w:ascii="Times New Roman" w:eastAsia="Times New Roman" w:hAnsi="Times New Roman" w:cs="Times New Roman"/>
          <w:sz w:val="24"/>
          <w:szCs w:val="24"/>
          <w:lang w:val="en-GB"/>
        </w:rPr>
        <w:t>Hello, everybody and good morning to you all. Today, I will discuss how change can be initiated by the sustainability generation of the HR professionals and tapping in to the EI. However, sustainability is usually the social, economic, and ecological practice oriented toward the future success (</w:t>
      </w:r>
      <w:r w:rsidRPr="008721EC">
        <w:rPr>
          <w:rFonts w:ascii="Times New Roman" w:hAnsi="Times New Roman" w:cs="Times New Roman"/>
          <w:color w:val="222222"/>
          <w:kern w:val="24"/>
          <w:sz w:val="24"/>
          <w:szCs w:val="24"/>
          <w:lang w:val="en-GB"/>
        </w:rPr>
        <w:t>Pîrvu, 2020</w:t>
      </w:r>
      <w:r w:rsidRPr="008721EC">
        <w:rPr>
          <w:rFonts w:ascii="Times New Roman" w:eastAsia="Times New Roman" w:hAnsi="Times New Roman" w:cs="Times New Roman"/>
          <w:sz w:val="24"/>
          <w:szCs w:val="24"/>
          <w:lang w:val="en-GB"/>
        </w:rPr>
        <w:t xml:space="preserve">). There is significant literature on the important connection of Emotional Intelligence, or EI, in developing elementary, lasting measure of solidifying work environments for people to flourish in. Combined, these principles enable HR to champion people’s health, creativity and business sustainability. </w:t>
      </w:r>
      <w:r w:rsidRPr="008721EC">
        <w:rPr>
          <w:rFonts w:ascii="Times New Roman" w:eastAsia="Times New Roman" w:hAnsi="Times New Roman" w:cs="Times New Roman"/>
          <w:sz w:val="24"/>
          <w:szCs w:val="24"/>
          <w:lang w:val="en-GB"/>
        </w:rPr>
        <w:t>So,</w:t>
      </w:r>
      <w:r w:rsidRPr="008721EC">
        <w:rPr>
          <w:rFonts w:ascii="Times New Roman" w:eastAsia="Times New Roman" w:hAnsi="Times New Roman" w:cs="Times New Roman"/>
          <w:sz w:val="24"/>
          <w:szCs w:val="24"/>
          <w:lang w:val="en-GB"/>
        </w:rPr>
        <w:t xml:space="preserve"> let’s better understand these concepts and how they can be used in the field of HR.</w:t>
      </w:r>
    </w:p>
    <w:p w14:paraId="6E60807D" w14:textId="77777777" w:rsidR="008721EC" w:rsidRPr="008721EC" w:rsidRDefault="008721EC" w:rsidP="008721EC">
      <w:pPr>
        <w:autoSpaceDE w:val="0"/>
        <w:autoSpaceDN w:val="0"/>
        <w:adjustRightInd w:val="0"/>
        <w:spacing w:after="0" w:line="240" w:lineRule="auto"/>
        <w:rPr>
          <w:rFonts w:ascii="Times New Roman" w:hAnsi="Times New Roman" w:cs="Times New Roman"/>
          <w:kern w:val="0"/>
          <w:sz w:val="24"/>
          <w:szCs w:val="24"/>
          <w:lang w:val="en-GB"/>
        </w:rPr>
      </w:pPr>
    </w:p>
    <w:p w14:paraId="3171F30F" w14:textId="77777777" w:rsidR="008721EC" w:rsidRPr="008721EC" w:rsidRDefault="008721EC" w:rsidP="008721EC">
      <w:pPr>
        <w:spacing w:line="360" w:lineRule="auto"/>
        <w:rPr>
          <w:rFonts w:ascii="Times New Roman" w:hAnsi="Times New Roman" w:cs="Times New Roman"/>
          <w:sz w:val="24"/>
          <w:szCs w:val="24"/>
          <w:lang w:val="en-GB"/>
        </w:rPr>
      </w:pPr>
    </w:p>
    <w:p w14:paraId="136FAAAF" w14:textId="3DF3C0A9" w:rsidR="008721EC" w:rsidRPr="008721EC" w:rsidRDefault="008721EC">
      <w:pPr>
        <w:rPr>
          <w:rFonts w:ascii="Times New Roman" w:hAnsi="Times New Roman" w:cs="Times New Roman"/>
          <w:sz w:val="24"/>
          <w:szCs w:val="24"/>
          <w:lang w:val="en-GB"/>
        </w:rPr>
      </w:pPr>
      <w:r w:rsidRPr="008721EC">
        <w:rPr>
          <w:rFonts w:ascii="Times New Roman" w:hAnsi="Times New Roman" w:cs="Times New Roman"/>
          <w:sz w:val="24"/>
          <w:szCs w:val="24"/>
          <w:lang w:val="en-GB"/>
        </w:rPr>
        <w:br w:type="page"/>
      </w:r>
    </w:p>
    <w:p w14:paraId="4B32D901" w14:textId="78BBCB62" w:rsidR="008721EC" w:rsidRPr="008721EC" w:rsidRDefault="008721EC" w:rsidP="008721EC">
      <w:pPr>
        <w:spacing w:line="360" w:lineRule="auto"/>
        <w:rPr>
          <w:rFonts w:ascii="Times New Roman" w:hAnsi="Times New Roman" w:cs="Times New Roman"/>
          <w:sz w:val="24"/>
          <w:szCs w:val="24"/>
          <w:lang w:val="en-GB"/>
        </w:rPr>
      </w:pPr>
      <w:r w:rsidRPr="008721EC">
        <w:rPr>
          <w:rFonts w:ascii="Times New Roman" w:hAnsi="Times New Roman" w:cs="Times New Roman"/>
          <w:sz w:val="24"/>
          <w:szCs w:val="24"/>
          <w:lang w:val="en-GB"/>
        </w:rPr>
        <w:lastRenderedPageBreak/>
        <w:t>Slide 3</w:t>
      </w:r>
    </w:p>
    <w:p w14:paraId="757A2719" w14:textId="77777777" w:rsidR="008721EC" w:rsidRPr="008721EC" w:rsidRDefault="008721EC" w:rsidP="008721EC">
      <w:pPr>
        <w:spacing w:line="360" w:lineRule="auto"/>
        <w:rPr>
          <w:rFonts w:ascii="Times New Roman" w:hAnsi="Times New Roman" w:cs="Times New Roman"/>
          <w:sz w:val="24"/>
          <w:szCs w:val="24"/>
          <w:lang w:val="en-GB"/>
        </w:rPr>
      </w:pPr>
    </w:p>
    <w:p w14:paraId="6EED7EDA" w14:textId="3F14BEFB" w:rsidR="008721EC" w:rsidRPr="008721EC" w:rsidRDefault="008721EC" w:rsidP="008721EC">
      <w:pPr>
        <w:spacing w:line="360" w:lineRule="auto"/>
        <w:jc w:val="center"/>
        <w:rPr>
          <w:rFonts w:ascii="Times New Roman" w:hAnsi="Times New Roman" w:cs="Times New Roman"/>
          <w:sz w:val="24"/>
          <w:szCs w:val="24"/>
          <w:lang w:val="en-GB"/>
        </w:rPr>
      </w:pPr>
      <w:r w:rsidRPr="008721EC">
        <w:rPr>
          <w:rFonts w:ascii="Times New Roman" w:hAnsi="Times New Roman" w:cs="Times New Roman"/>
          <w:sz w:val="24"/>
          <w:szCs w:val="24"/>
          <w:lang w:val="en-GB"/>
        </w:rPr>
        <w:object w:dxaOrig="9605" w:dyaOrig="5393" w14:anchorId="1F471A0F">
          <v:shape id="_x0000_i1035" type="#_x0000_t75" style="width:5in;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5" DrawAspect="Content" ObjectID="_1793575574" r:id="rId9"/>
        </w:object>
      </w:r>
    </w:p>
    <w:p w14:paraId="64A682D0" w14:textId="77777777" w:rsidR="008721EC" w:rsidRPr="008721EC" w:rsidRDefault="008721EC" w:rsidP="008721EC">
      <w:pPr>
        <w:spacing w:line="360" w:lineRule="auto"/>
        <w:jc w:val="center"/>
        <w:rPr>
          <w:rFonts w:ascii="Times New Roman" w:hAnsi="Times New Roman" w:cs="Times New Roman"/>
          <w:sz w:val="24"/>
          <w:szCs w:val="24"/>
          <w:lang w:val="en-GB"/>
        </w:rPr>
      </w:pPr>
    </w:p>
    <w:p w14:paraId="6E7DC8E0" w14:textId="77777777" w:rsidR="008721EC" w:rsidRPr="008721EC" w:rsidRDefault="008721EC" w:rsidP="008721EC">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721EC">
        <w:rPr>
          <w:rFonts w:ascii="Times New Roman" w:eastAsia="Times New Roman" w:hAnsi="Times New Roman" w:cs="Times New Roman"/>
          <w:sz w:val="24"/>
          <w:szCs w:val="24"/>
          <w:lang w:val="en-GB"/>
        </w:rPr>
        <w:t>The modern tendencies related to the management of the human resources workforce also define more attention to the sustainable development and the well-being of individuals. Sustainable talent management focuses on staffing individuals, who embrace organizational values and doctrines while maintaining completion through interest. Those are directions where theories of EI can be utilized by managing leaders in HR to enhance an organization’s diversity and inclusion while fostering a unified and creative group of employees (</w:t>
      </w:r>
      <w:r w:rsidRPr="008721EC">
        <w:rPr>
          <w:rFonts w:ascii="Times New Roman" w:hAnsi="Times New Roman" w:cs="Times New Roman"/>
          <w:color w:val="222222"/>
          <w:kern w:val="24"/>
          <w:sz w:val="24"/>
          <w:szCs w:val="24"/>
          <w:lang w:val="en-GB"/>
        </w:rPr>
        <w:t>Przytuła, Strzelec and Krysińska-Kościańska, 2020</w:t>
      </w:r>
      <w:r w:rsidRPr="008721EC">
        <w:rPr>
          <w:rFonts w:ascii="Times New Roman" w:eastAsia="Times New Roman" w:hAnsi="Times New Roman" w:cs="Times New Roman"/>
          <w:sz w:val="24"/>
          <w:szCs w:val="24"/>
          <w:lang w:val="en-GB"/>
        </w:rPr>
        <w:t>). Many Green HR practices, for example, engaging employees telecommute or use materials sparingly, indicate concern for the environment. To a degree, empathetic leadership provides for addressing mental health and organizational/individual needs so that employees would not feel neglected by their workplace. All these trends bear testimony to the fact that HR has been given an increasingly critical responsibility of shaping sustainable and emotionally intelligent organizations.</w:t>
      </w:r>
    </w:p>
    <w:p w14:paraId="6A903D65" w14:textId="77777777" w:rsidR="008721EC" w:rsidRPr="008721EC" w:rsidRDefault="008721EC" w:rsidP="008721EC">
      <w:pPr>
        <w:autoSpaceDE w:val="0"/>
        <w:autoSpaceDN w:val="0"/>
        <w:adjustRightInd w:val="0"/>
        <w:spacing w:after="0" w:line="240" w:lineRule="auto"/>
        <w:rPr>
          <w:rFonts w:ascii="Times New Roman" w:hAnsi="Times New Roman" w:cs="Times New Roman"/>
          <w:kern w:val="0"/>
          <w:sz w:val="24"/>
          <w:szCs w:val="24"/>
          <w:lang w:val="en-GB"/>
        </w:rPr>
      </w:pPr>
    </w:p>
    <w:p w14:paraId="76C1C4A3" w14:textId="77777777" w:rsidR="008721EC" w:rsidRPr="008721EC" w:rsidRDefault="008721EC" w:rsidP="008721EC">
      <w:pPr>
        <w:spacing w:line="360" w:lineRule="auto"/>
        <w:rPr>
          <w:rFonts w:ascii="Times New Roman" w:hAnsi="Times New Roman" w:cs="Times New Roman"/>
          <w:sz w:val="24"/>
          <w:szCs w:val="24"/>
          <w:lang w:val="en-GB"/>
        </w:rPr>
      </w:pPr>
    </w:p>
    <w:p w14:paraId="5C6164C0" w14:textId="0544FE3C" w:rsidR="008721EC" w:rsidRPr="008721EC" w:rsidRDefault="008721EC">
      <w:pPr>
        <w:rPr>
          <w:rFonts w:ascii="Times New Roman" w:hAnsi="Times New Roman" w:cs="Times New Roman"/>
          <w:sz w:val="24"/>
          <w:szCs w:val="24"/>
          <w:lang w:val="en-GB"/>
        </w:rPr>
      </w:pPr>
      <w:r w:rsidRPr="008721EC">
        <w:rPr>
          <w:rFonts w:ascii="Times New Roman" w:hAnsi="Times New Roman" w:cs="Times New Roman"/>
          <w:sz w:val="24"/>
          <w:szCs w:val="24"/>
          <w:lang w:val="en-GB"/>
        </w:rPr>
        <w:br w:type="page"/>
      </w:r>
    </w:p>
    <w:p w14:paraId="42D9F879" w14:textId="3F1E0808" w:rsidR="008721EC" w:rsidRPr="008721EC" w:rsidRDefault="008721EC" w:rsidP="008721EC">
      <w:pPr>
        <w:spacing w:line="360" w:lineRule="auto"/>
        <w:rPr>
          <w:rFonts w:ascii="Times New Roman" w:hAnsi="Times New Roman" w:cs="Times New Roman"/>
          <w:sz w:val="24"/>
          <w:szCs w:val="24"/>
          <w:lang w:val="en-GB"/>
        </w:rPr>
      </w:pPr>
      <w:r w:rsidRPr="008721EC">
        <w:rPr>
          <w:rFonts w:ascii="Times New Roman" w:hAnsi="Times New Roman" w:cs="Times New Roman"/>
          <w:sz w:val="24"/>
          <w:szCs w:val="24"/>
          <w:lang w:val="en-GB"/>
        </w:rPr>
        <w:lastRenderedPageBreak/>
        <w:t>Slide 4</w:t>
      </w:r>
    </w:p>
    <w:p w14:paraId="3914C336" w14:textId="77777777" w:rsidR="008721EC" w:rsidRPr="008721EC" w:rsidRDefault="008721EC" w:rsidP="008721EC">
      <w:pPr>
        <w:spacing w:line="360" w:lineRule="auto"/>
        <w:rPr>
          <w:rFonts w:ascii="Times New Roman" w:hAnsi="Times New Roman" w:cs="Times New Roman"/>
          <w:sz w:val="24"/>
          <w:szCs w:val="24"/>
          <w:lang w:val="en-GB"/>
        </w:rPr>
      </w:pPr>
    </w:p>
    <w:p w14:paraId="30B57750" w14:textId="072B8EAB" w:rsidR="008721EC" w:rsidRPr="008721EC" w:rsidRDefault="008721EC" w:rsidP="008721EC">
      <w:pPr>
        <w:spacing w:line="360" w:lineRule="auto"/>
        <w:jc w:val="center"/>
        <w:rPr>
          <w:rFonts w:ascii="Times New Roman" w:hAnsi="Times New Roman" w:cs="Times New Roman"/>
          <w:sz w:val="24"/>
          <w:szCs w:val="24"/>
          <w:lang w:val="en-GB"/>
        </w:rPr>
      </w:pPr>
      <w:r w:rsidRPr="008721EC">
        <w:rPr>
          <w:rFonts w:ascii="Times New Roman" w:hAnsi="Times New Roman" w:cs="Times New Roman"/>
          <w:sz w:val="24"/>
          <w:szCs w:val="24"/>
          <w:lang w:val="en-GB"/>
        </w:rPr>
        <w:object w:dxaOrig="9605" w:dyaOrig="5393" w14:anchorId="3D6257A2">
          <v:shape id="_x0000_i1040" type="#_x0000_t75" style="width:5in;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0" DrawAspect="Content" ObjectID="_1793575575" r:id="rId11"/>
        </w:object>
      </w:r>
    </w:p>
    <w:p w14:paraId="746B6A4C" w14:textId="77777777" w:rsidR="008721EC" w:rsidRPr="008721EC" w:rsidRDefault="008721EC" w:rsidP="008721EC">
      <w:pPr>
        <w:spacing w:line="360" w:lineRule="auto"/>
        <w:jc w:val="center"/>
        <w:rPr>
          <w:rFonts w:ascii="Times New Roman" w:hAnsi="Times New Roman" w:cs="Times New Roman"/>
          <w:sz w:val="24"/>
          <w:szCs w:val="24"/>
          <w:lang w:val="en-GB"/>
        </w:rPr>
      </w:pPr>
    </w:p>
    <w:p w14:paraId="22255E17" w14:textId="77777777" w:rsidR="008721EC" w:rsidRPr="008721EC" w:rsidRDefault="008721EC" w:rsidP="008721EC">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721EC">
        <w:rPr>
          <w:rFonts w:ascii="Times New Roman" w:eastAsia="Times New Roman" w:hAnsi="Times New Roman" w:cs="Times New Roman"/>
          <w:sz w:val="24"/>
          <w:szCs w:val="24"/>
          <w:lang w:val="en-GB"/>
        </w:rPr>
        <w:t>Integrating sustainability and EI yields measurable benefits: A win-win situation is where employee engaged, reduced turnover rate, and enhanced employer branding. To this end, it is important that HR professionals be trained to increase their EI with focused and effective interventions, which improve empathy, flexibility, as well as personal awareness. Ever changing landscape of the workplace places HR in the driver’s seat to initiate and argue for the causes that are both positive for the employee and the planet (</w:t>
      </w:r>
      <w:r w:rsidRPr="008721EC">
        <w:rPr>
          <w:rFonts w:ascii="Times New Roman" w:hAnsi="Times New Roman" w:cs="Times New Roman"/>
          <w:color w:val="222222"/>
          <w:kern w:val="24"/>
          <w:sz w:val="24"/>
          <w:szCs w:val="24"/>
          <w:lang w:val="en-GB"/>
        </w:rPr>
        <w:t>Minbaeva, 2021</w:t>
      </w:r>
      <w:r w:rsidRPr="008721EC">
        <w:rPr>
          <w:rFonts w:ascii="Times New Roman" w:eastAsia="Times New Roman" w:hAnsi="Times New Roman" w:cs="Times New Roman"/>
          <w:sz w:val="24"/>
          <w:szCs w:val="24"/>
          <w:lang w:val="en-GB"/>
        </w:rPr>
        <w:t>). In together with we can work for creating workplaces where the productivity can exist hand by hand with the humanity and the innovations with regards to the care for the earth. As we have gauged the general picture let us ensure that this vision becomes a reality.</w:t>
      </w:r>
    </w:p>
    <w:p w14:paraId="0E974E9B" w14:textId="77777777" w:rsidR="008721EC" w:rsidRPr="008721EC" w:rsidRDefault="008721EC" w:rsidP="008721EC">
      <w:pPr>
        <w:autoSpaceDE w:val="0"/>
        <w:autoSpaceDN w:val="0"/>
        <w:adjustRightInd w:val="0"/>
        <w:spacing w:after="0" w:line="240" w:lineRule="auto"/>
        <w:rPr>
          <w:rFonts w:ascii="Times New Roman" w:hAnsi="Times New Roman" w:cs="Times New Roman"/>
          <w:kern w:val="0"/>
          <w:sz w:val="24"/>
          <w:szCs w:val="24"/>
          <w:lang w:val="en-GB"/>
        </w:rPr>
      </w:pPr>
    </w:p>
    <w:p w14:paraId="5997D93F" w14:textId="77777777" w:rsidR="008721EC" w:rsidRPr="008721EC" w:rsidRDefault="008721EC" w:rsidP="008721EC">
      <w:pPr>
        <w:spacing w:line="360" w:lineRule="auto"/>
        <w:rPr>
          <w:rFonts w:ascii="Times New Roman" w:hAnsi="Times New Roman" w:cs="Times New Roman"/>
          <w:sz w:val="24"/>
          <w:szCs w:val="24"/>
          <w:lang w:val="en-GB"/>
        </w:rPr>
      </w:pPr>
    </w:p>
    <w:p w14:paraId="2AB3A611" w14:textId="48F6B643" w:rsidR="008721EC" w:rsidRPr="008721EC" w:rsidRDefault="008721EC">
      <w:pPr>
        <w:rPr>
          <w:rFonts w:ascii="Times New Roman" w:hAnsi="Times New Roman" w:cs="Times New Roman"/>
          <w:sz w:val="24"/>
          <w:szCs w:val="24"/>
          <w:lang w:val="en-GB"/>
        </w:rPr>
      </w:pPr>
      <w:r w:rsidRPr="008721EC">
        <w:rPr>
          <w:rFonts w:ascii="Times New Roman" w:hAnsi="Times New Roman" w:cs="Times New Roman"/>
          <w:sz w:val="24"/>
          <w:szCs w:val="24"/>
          <w:lang w:val="en-GB"/>
        </w:rPr>
        <w:br w:type="page"/>
      </w:r>
    </w:p>
    <w:p w14:paraId="3BBB0B3F" w14:textId="11AB40BD" w:rsidR="008721EC" w:rsidRPr="008721EC" w:rsidRDefault="008721EC" w:rsidP="008721EC">
      <w:pPr>
        <w:spacing w:line="360" w:lineRule="auto"/>
        <w:rPr>
          <w:rFonts w:ascii="Times New Roman" w:hAnsi="Times New Roman" w:cs="Times New Roman"/>
          <w:sz w:val="24"/>
          <w:szCs w:val="24"/>
          <w:lang w:val="en-GB"/>
        </w:rPr>
      </w:pPr>
      <w:r w:rsidRPr="008721EC">
        <w:rPr>
          <w:rFonts w:ascii="Times New Roman" w:hAnsi="Times New Roman" w:cs="Times New Roman"/>
          <w:sz w:val="24"/>
          <w:szCs w:val="24"/>
          <w:lang w:val="en-GB"/>
        </w:rPr>
        <w:lastRenderedPageBreak/>
        <w:t>Slide 5</w:t>
      </w:r>
    </w:p>
    <w:p w14:paraId="1D841F09" w14:textId="77777777" w:rsidR="008721EC" w:rsidRPr="008721EC" w:rsidRDefault="008721EC" w:rsidP="008721EC">
      <w:pPr>
        <w:spacing w:line="360" w:lineRule="auto"/>
        <w:rPr>
          <w:rFonts w:ascii="Times New Roman" w:hAnsi="Times New Roman" w:cs="Times New Roman"/>
          <w:sz w:val="24"/>
          <w:szCs w:val="24"/>
          <w:lang w:val="en-GB"/>
        </w:rPr>
      </w:pPr>
    </w:p>
    <w:p w14:paraId="60B34124" w14:textId="40C3F66F" w:rsidR="008721EC" w:rsidRPr="008721EC" w:rsidRDefault="008721EC" w:rsidP="008721EC">
      <w:pPr>
        <w:pStyle w:val="Subtitle"/>
        <w:jc w:val="center"/>
        <w:rPr>
          <w:rFonts w:ascii="Times New Roman" w:hAnsi="Times New Roman" w:cs="Times New Roman"/>
          <w:sz w:val="24"/>
          <w:szCs w:val="24"/>
          <w:lang w:val="en-GB"/>
        </w:rPr>
      </w:pPr>
      <w:r w:rsidRPr="008721EC">
        <w:rPr>
          <w:rFonts w:ascii="Times New Roman" w:hAnsi="Times New Roman" w:cs="Times New Roman"/>
          <w:sz w:val="24"/>
          <w:szCs w:val="24"/>
          <w:lang w:val="en-GB"/>
        </w:rPr>
        <w:object w:dxaOrig="9605" w:dyaOrig="5393" w14:anchorId="1C852CD6">
          <v:shape id="_x0000_i1045" type="#_x0000_t75" style="width:5in;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5" DrawAspect="Content" ObjectID="_1793575576" r:id="rId13"/>
        </w:object>
      </w:r>
    </w:p>
    <w:p w14:paraId="62DF8F21" w14:textId="77777777" w:rsidR="008721EC" w:rsidRPr="008721EC" w:rsidRDefault="008721EC" w:rsidP="008721EC">
      <w:pPr>
        <w:rPr>
          <w:rFonts w:ascii="Times New Roman" w:hAnsi="Times New Roman" w:cs="Times New Roman"/>
          <w:sz w:val="24"/>
          <w:szCs w:val="24"/>
          <w:lang w:val="en-GB"/>
        </w:rPr>
      </w:pPr>
    </w:p>
    <w:p w14:paraId="781B4BEE" w14:textId="77777777" w:rsidR="008721EC" w:rsidRPr="008721EC" w:rsidRDefault="008721EC" w:rsidP="008721EC">
      <w:pPr>
        <w:rPr>
          <w:rFonts w:ascii="Times New Roman" w:hAnsi="Times New Roman" w:cs="Times New Roman"/>
          <w:sz w:val="24"/>
          <w:szCs w:val="24"/>
          <w:lang w:val="en-GB"/>
        </w:rPr>
      </w:pPr>
    </w:p>
    <w:p w14:paraId="1AEEB256" w14:textId="77777777" w:rsidR="008721EC" w:rsidRPr="008721EC" w:rsidRDefault="008721EC" w:rsidP="008721EC">
      <w:pPr>
        <w:rPr>
          <w:rFonts w:ascii="Times New Roman" w:hAnsi="Times New Roman" w:cs="Times New Roman"/>
          <w:sz w:val="24"/>
          <w:szCs w:val="24"/>
          <w:lang w:val="en-GB"/>
        </w:rPr>
      </w:pPr>
    </w:p>
    <w:sectPr w:rsidR="008721EC" w:rsidRPr="008721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EC"/>
    <w:rsid w:val="008721EC"/>
    <w:rsid w:val="00BB76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5D161"/>
  <w15:chartTrackingRefBased/>
  <w15:docId w15:val="{7E8A2B5E-68F0-43A3-AD10-8778323D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8721E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21E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3" Type="http://schemas.openxmlformats.org/officeDocument/2006/relationships/webSettings" Target="webSettings.xml"/><Relationship Id="rId7" Type="http://schemas.openxmlformats.org/officeDocument/2006/relationships/package" Target="embeddings/Microsoft_PowerPoint_Slide1.sldx"/><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417</Words>
  <Characters>2378</Characters>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2024-11-19T21:37:00Z</dcterms:created>
  <dcterms:modified xsi:type="dcterms:W3CDTF">2024-11-19T21:39:00Z</dcterms:modified>
</cp:coreProperties>
</file>