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7DCD" w14:textId="77777777" w:rsidR="00F468D1" w:rsidRPr="007E1727" w:rsidRDefault="00F468D1" w:rsidP="00B224B6">
      <w:pPr>
        <w:spacing w:line="480" w:lineRule="auto"/>
        <w:ind w:firstLine="720"/>
        <w:jc w:val="center"/>
        <w:rPr>
          <w:b/>
          <w:bCs/>
        </w:rPr>
      </w:pPr>
    </w:p>
    <w:p w14:paraId="09AA434B" w14:textId="77777777" w:rsidR="00F468D1" w:rsidRPr="007E1727" w:rsidRDefault="00F468D1" w:rsidP="00B224B6">
      <w:pPr>
        <w:spacing w:line="480" w:lineRule="auto"/>
        <w:ind w:firstLine="720"/>
        <w:jc w:val="center"/>
        <w:rPr>
          <w:b/>
          <w:bCs/>
        </w:rPr>
      </w:pPr>
    </w:p>
    <w:p w14:paraId="466FA396" w14:textId="77777777" w:rsidR="00F468D1" w:rsidRPr="007E1727" w:rsidRDefault="00F468D1" w:rsidP="00B224B6">
      <w:pPr>
        <w:spacing w:line="480" w:lineRule="auto"/>
        <w:ind w:firstLine="720"/>
        <w:jc w:val="center"/>
        <w:rPr>
          <w:b/>
          <w:bCs/>
        </w:rPr>
      </w:pPr>
    </w:p>
    <w:p w14:paraId="0D8CF4B9" w14:textId="77777777" w:rsidR="00F468D1" w:rsidRPr="007E1727" w:rsidRDefault="00F468D1" w:rsidP="00B224B6">
      <w:pPr>
        <w:spacing w:line="480" w:lineRule="auto"/>
        <w:ind w:firstLine="720"/>
        <w:jc w:val="center"/>
        <w:rPr>
          <w:b/>
          <w:bCs/>
        </w:rPr>
      </w:pPr>
    </w:p>
    <w:p w14:paraId="253C824D" w14:textId="2C9FEEF7" w:rsidR="00286395" w:rsidRPr="007E1727" w:rsidRDefault="00ED7EAB" w:rsidP="00F378C4">
      <w:pPr>
        <w:spacing w:line="480" w:lineRule="auto"/>
        <w:jc w:val="center"/>
        <w:rPr>
          <w:b/>
          <w:bCs/>
        </w:rPr>
      </w:pPr>
      <w:r>
        <w:rPr>
          <w:b/>
          <w:bCs/>
        </w:rPr>
        <w:t>BUS50</w:t>
      </w:r>
      <w:r w:rsidR="007E1727" w:rsidRPr="007E1727">
        <w:rPr>
          <w:b/>
          <w:bCs/>
        </w:rPr>
        <w:t>0</w:t>
      </w:r>
      <w:r w:rsidR="003C7F15" w:rsidRPr="007E1727">
        <w:rPr>
          <w:b/>
          <w:bCs/>
        </w:rPr>
        <w:t xml:space="preserve"> </w:t>
      </w:r>
      <w:r w:rsidR="007F13BF">
        <w:rPr>
          <w:b/>
          <w:bCs/>
        </w:rPr>
        <w:t>SLP</w:t>
      </w:r>
      <w:r w:rsidR="006624AB" w:rsidRPr="007E1727">
        <w:rPr>
          <w:b/>
          <w:bCs/>
        </w:rPr>
        <w:t xml:space="preserve"> </w:t>
      </w:r>
      <w:r w:rsidR="0016250F">
        <w:rPr>
          <w:b/>
          <w:bCs/>
        </w:rPr>
        <w:t>2</w:t>
      </w:r>
    </w:p>
    <w:p w14:paraId="215330E4" w14:textId="77777777" w:rsidR="00286395" w:rsidRPr="007E1727" w:rsidRDefault="00286395" w:rsidP="00B224B6">
      <w:pPr>
        <w:spacing w:line="480" w:lineRule="auto"/>
        <w:ind w:firstLine="720"/>
        <w:jc w:val="center"/>
      </w:pPr>
    </w:p>
    <w:p w14:paraId="0C9670E1" w14:textId="77777777" w:rsidR="00454CAF" w:rsidRPr="007E1727" w:rsidRDefault="00454CAF" w:rsidP="00F378C4">
      <w:pPr>
        <w:spacing w:line="480" w:lineRule="auto"/>
        <w:jc w:val="center"/>
      </w:pPr>
      <w:r w:rsidRPr="007E1727">
        <w:t>Your Name</w:t>
      </w:r>
    </w:p>
    <w:p w14:paraId="02750D95" w14:textId="77777777" w:rsidR="00454CAF" w:rsidRPr="007E1727" w:rsidRDefault="00454CAF" w:rsidP="00F378C4">
      <w:pPr>
        <w:spacing w:line="480" w:lineRule="auto"/>
        <w:jc w:val="center"/>
      </w:pPr>
      <w:r w:rsidRPr="007E1727">
        <w:t xml:space="preserve">Trident University International </w:t>
      </w:r>
    </w:p>
    <w:p w14:paraId="70F9BBF2" w14:textId="70C02BAD" w:rsidR="007E1727" w:rsidRPr="007E1727" w:rsidRDefault="00ED7EAB" w:rsidP="00F378C4">
      <w:pPr>
        <w:spacing w:line="480" w:lineRule="auto"/>
        <w:jc w:val="center"/>
      </w:pPr>
      <w:r>
        <w:t>BUS5</w:t>
      </w:r>
      <w:r w:rsidR="007E1727" w:rsidRPr="007E1727">
        <w:t xml:space="preserve">00 </w:t>
      </w:r>
      <w:r>
        <w:t>Financial Intelligence</w:t>
      </w:r>
    </w:p>
    <w:p w14:paraId="54C389E1" w14:textId="7A086B20" w:rsidR="00844EE7" w:rsidRPr="007E1727" w:rsidRDefault="00454CAF" w:rsidP="00F378C4">
      <w:pPr>
        <w:spacing w:line="480" w:lineRule="auto"/>
        <w:jc w:val="center"/>
      </w:pPr>
      <w:r w:rsidRPr="007E1727">
        <w:t>Due Date</w:t>
      </w:r>
    </w:p>
    <w:p w14:paraId="6C8D5EF8" w14:textId="56D46919" w:rsidR="003C7F15" w:rsidRPr="007E1727" w:rsidRDefault="00352E8D" w:rsidP="003C7F15">
      <w:pPr>
        <w:spacing w:line="480" w:lineRule="auto"/>
        <w:jc w:val="center"/>
        <w:rPr>
          <w:b/>
          <w:bCs/>
        </w:rPr>
      </w:pPr>
      <w:r w:rsidRPr="007E1727">
        <w:br w:type="page"/>
      </w:r>
    </w:p>
    <w:p w14:paraId="1DF862F2" w14:textId="10C06070" w:rsidR="00D200BF" w:rsidRPr="007E1727" w:rsidRDefault="00ED7EAB" w:rsidP="00B224B6">
      <w:pPr>
        <w:spacing w:line="480" w:lineRule="auto"/>
        <w:jc w:val="center"/>
        <w:rPr>
          <w:b/>
          <w:bCs/>
        </w:rPr>
      </w:pPr>
      <w:r>
        <w:rPr>
          <w:b/>
          <w:bCs/>
        </w:rPr>
        <w:lastRenderedPageBreak/>
        <w:t>BUS500</w:t>
      </w:r>
      <w:r w:rsidR="003C7F15" w:rsidRPr="007E1727">
        <w:rPr>
          <w:b/>
          <w:bCs/>
        </w:rPr>
        <w:t xml:space="preserve"> </w:t>
      </w:r>
      <w:r w:rsidR="007F13BF">
        <w:rPr>
          <w:b/>
          <w:bCs/>
        </w:rPr>
        <w:t>SLP</w:t>
      </w:r>
      <w:r w:rsidR="006624AB" w:rsidRPr="007E1727">
        <w:rPr>
          <w:b/>
          <w:bCs/>
        </w:rPr>
        <w:t xml:space="preserve"> </w:t>
      </w:r>
      <w:r w:rsidR="0016250F">
        <w:rPr>
          <w:b/>
          <w:bCs/>
        </w:rPr>
        <w:t>2</w:t>
      </w:r>
    </w:p>
    <w:p w14:paraId="16B93B5E" w14:textId="3443CCD1" w:rsidR="00302BC5" w:rsidRPr="00375C8A" w:rsidRDefault="00375C8A" w:rsidP="00550870">
      <w:pPr>
        <w:spacing w:line="480" w:lineRule="auto"/>
        <w:ind w:firstLine="720"/>
        <w:jc w:val="both"/>
        <w:rPr>
          <w:i/>
          <w:iCs/>
          <w:color w:val="FF0000"/>
          <w:sz w:val="22"/>
        </w:rPr>
      </w:pPr>
      <w:r w:rsidRPr="00375C8A">
        <w:t>This white paper examines the economic dynamics of the U.S. data processing and hosting services industry, with a focus on the effects of recent economic trends and external shocks. It provides an in-depth background, assesses the impact of the COVID-19 pandemic, analyzes current performance using recent statistics and external research, and offers an industry outlook.</w:t>
      </w:r>
    </w:p>
    <w:p w14:paraId="36DAABFA" w14:textId="77777777" w:rsidR="0016250F" w:rsidRPr="0066628E" w:rsidRDefault="0016250F" w:rsidP="0016250F">
      <w:pPr>
        <w:spacing w:line="480" w:lineRule="auto"/>
        <w:jc w:val="center"/>
        <w:rPr>
          <w:b/>
          <w:bCs/>
        </w:rPr>
      </w:pPr>
      <w:bookmarkStart w:id="0" w:name="_Hlk68607904"/>
      <w:r w:rsidRPr="0066628E">
        <w:rPr>
          <w:b/>
          <w:bCs/>
        </w:rPr>
        <w:t>Background</w:t>
      </w:r>
    </w:p>
    <w:p w14:paraId="0B75F57C" w14:textId="1EE8E155" w:rsidR="0016250F" w:rsidRPr="00375C8A" w:rsidRDefault="006C6954" w:rsidP="00550870">
      <w:pPr>
        <w:spacing w:line="480" w:lineRule="auto"/>
        <w:ind w:firstLine="720"/>
        <w:jc w:val="both"/>
        <w:rPr>
          <w:color w:val="000000" w:themeColor="text1"/>
          <w:lang w:val="aa-ET"/>
        </w:rPr>
      </w:pPr>
      <w:r w:rsidRPr="006C6954">
        <w:rPr>
          <w:color w:val="000000" w:themeColor="text1"/>
          <w:lang w:val="aa-ET"/>
        </w:rPr>
        <w:t>Data processing and hosting services companies in the U.S. manage, store, and process large amounts of data, allowing other businesses to outsource critical IT functions. This sector supports many digital operations with web hosting, cloud storage, application services, and business process management. The industry earned nearly $291.4 billion between 2019 and 2024, growing at 5.4 percent. Web hosting contributed $103.7 billion, or 35.6% of total revenue, while application services and business process management contributed $58.6 billion and $55.7 billion, respectively. The sector employs over 704,000 people and has over 55,700 businesses. Amazon, Salesforce, and IBM have invested heavily in cloud computing and digital infrastructure to innovate and improve operations. Edge computing, AI, and data analytics improve service scalability and security. High data privacy standards enforced by regulations have also increased consumer trust. The sector's role in sustaining the nation's digital economy is crucial as companies struggle to manage growing digital information volumes. Technology and market demand drive industry growth, which underpins many data-driven business models</w:t>
      </w:r>
      <w:r w:rsidR="007F00A0">
        <w:rPr>
          <w:color w:val="000000" w:themeColor="text1"/>
          <w:lang w:val="aa-ET"/>
        </w:rPr>
        <w:t xml:space="preserve"> </w:t>
      </w:r>
      <w:r w:rsidR="007F00A0">
        <w:rPr>
          <w:color w:val="000000" w:themeColor="text1"/>
          <w:lang w:val="aa-ET"/>
        </w:rPr>
        <w:fldChar w:fldCharType="begin"/>
      </w:r>
      <w:r w:rsidR="007F00A0">
        <w:rPr>
          <w:color w:val="000000" w:themeColor="text1"/>
          <w:lang w:val="aa-ET"/>
        </w:rPr>
        <w:instrText xml:space="preserve"> ADDIN EN.CITE &lt;EndNote&gt;&lt;Cite&gt;&lt;Author&gt;IBISWorld&lt;/Author&gt;&lt;Year&gt;2024&lt;/Year&gt;&lt;RecNum&gt;2920&lt;/RecNum&gt;&lt;DisplayText&gt;(IBISWorld, 2024)&lt;/DisplayText&gt;&lt;record&gt;&lt;rec-number&gt;2920&lt;/rec-number&gt;&lt;foreign-keys&gt;&lt;key app="EN" db-id="zxrtwszvnew9f9e9p0vv0wfld5x2wxp9wzp5" timestamp="1739026440"&gt;2920&lt;/key&gt;&lt;/foreign-keys&gt;&lt;ref-type name="Web Page"&gt;12&lt;/ref-type&gt;&lt;contributors&gt;&lt;authors&gt;&lt;author&gt;IBISWorld,&lt;/author&gt;&lt;/authors&gt;&lt;/contributors&gt;&lt;titles&gt;&lt;title&gt;Data Processing &amp;amp; Hosting Services in the US (Industry Report 51821)&lt;/title&gt;&lt;/titles&gt;&lt;volume&gt;2025&lt;/volume&gt;&lt;number&gt;8th February&lt;/number&gt;&lt;dates&gt;&lt;year&gt;2024&lt;/year&gt;&lt;/dates&gt;&lt;urls&gt;&lt;related-urls&gt;&lt;url&gt;https://my-ibisworld-com.trident.idm.oclc.org/us/en/industry/51821/performance#performance_current-performance&lt;/url&gt;&lt;/related-urls&gt;&lt;/urls&gt;&lt;/record&gt;&lt;/Cite&gt;&lt;/EndNote&gt;</w:instrText>
      </w:r>
      <w:r w:rsidR="007F00A0">
        <w:rPr>
          <w:color w:val="000000" w:themeColor="text1"/>
          <w:lang w:val="aa-ET"/>
        </w:rPr>
        <w:fldChar w:fldCharType="separate"/>
      </w:r>
      <w:r w:rsidR="007F00A0">
        <w:rPr>
          <w:noProof/>
          <w:color w:val="000000" w:themeColor="text1"/>
          <w:lang w:val="aa-ET"/>
        </w:rPr>
        <w:t>(IBISWorld, 2024)</w:t>
      </w:r>
      <w:r w:rsidR="007F00A0">
        <w:rPr>
          <w:color w:val="000000" w:themeColor="text1"/>
          <w:lang w:val="aa-ET"/>
        </w:rPr>
        <w:fldChar w:fldCharType="end"/>
      </w:r>
      <w:r w:rsidR="0016250F" w:rsidRPr="0066628E">
        <w:t xml:space="preserve">. </w:t>
      </w:r>
    </w:p>
    <w:p w14:paraId="47574387" w14:textId="77777777" w:rsidR="0016250F" w:rsidRPr="0066628E" w:rsidRDefault="0016250F" w:rsidP="0016250F">
      <w:pPr>
        <w:spacing w:line="480" w:lineRule="auto"/>
        <w:jc w:val="center"/>
        <w:rPr>
          <w:b/>
          <w:bCs/>
        </w:rPr>
      </w:pPr>
      <w:r w:rsidRPr="0066628E">
        <w:rPr>
          <w:b/>
          <w:bCs/>
        </w:rPr>
        <w:t>COVID-19 Impact on Economy</w:t>
      </w:r>
    </w:p>
    <w:p w14:paraId="79C675B2" w14:textId="0990A893" w:rsidR="0016250F" w:rsidRPr="00375C8A" w:rsidRDefault="006C6954" w:rsidP="00550870">
      <w:pPr>
        <w:spacing w:line="480" w:lineRule="auto"/>
        <w:ind w:firstLine="720"/>
        <w:jc w:val="both"/>
        <w:rPr>
          <w:lang w:val="aa-ET"/>
        </w:rPr>
      </w:pPr>
      <w:r w:rsidRPr="006C6954">
        <w:rPr>
          <w:lang w:val="aa-ET"/>
        </w:rPr>
        <w:t xml:space="preserve">The COVID-19 pandemic accelerated digital transformation, transforming data processing and hosting services. As businesses had to quickly move to remote operations, digital infrastructure use increased exponentially. Outsourcing data storage and processing by in-house companies </w:t>
      </w:r>
      <w:r w:rsidRPr="006C6954">
        <w:rPr>
          <w:lang w:val="aa-ET"/>
        </w:rPr>
        <w:lastRenderedPageBreak/>
        <w:t>accelerated the shift to cloud-based solutions. As demand increased, firms invested heavily in data centres and cloud infrastructure to maintain operational continuity and data integrity. Despite supply chain disruptions and rising energy costs, the industry improved. Digital service providers added cybersecurity and real-time data analytics to combat cyberattacks amid increased online activity. Remote work and virtual collaboration tools accelerated the adoption of scalable, on-demand computing resources, strengthening the sector's market position. According to 2024 economic forecasts, the pandemic caused short-term operational issues but highlighted the strategic importance of reliable data processing and hosting services. Thus, companies accelerated digital transformation, improving revenue and growth potential. During the pandemic, secure and efficient data management led to continued investments in innovative technologies and robust infrastructure, positioning the industry for long-term resilience and improved performance</w:t>
      </w:r>
      <w:r w:rsidR="007F00A0">
        <w:rPr>
          <w:lang w:val="aa-ET"/>
        </w:rPr>
        <w:t xml:space="preserve"> </w:t>
      </w:r>
      <w:r w:rsidR="007F00A0">
        <w:rPr>
          <w:lang w:val="aa-ET"/>
        </w:rPr>
        <w:fldChar w:fldCharType="begin"/>
      </w:r>
      <w:r w:rsidR="007F00A0">
        <w:rPr>
          <w:lang w:val="aa-ET"/>
        </w:rPr>
        <w:instrText xml:space="preserve"> ADDIN EN.CITE &lt;EndNote&gt;&lt;Cite&gt;&lt;Author&gt;Fortune Business Insights&lt;/Author&gt;&lt;Year&gt;2025&lt;/Year&gt;&lt;RecNum&gt;2921&lt;/RecNum&gt;&lt;DisplayText&gt;(Fortune Business Insights, 2025)&lt;/DisplayText&gt;&lt;record&gt;&lt;rec-number&gt;2921&lt;/rec-number&gt;&lt;foreign-keys&gt;&lt;key app="EN" db-id="zxrtwszvnew9f9e9p0vv0wfld5x2wxp9wzp5" timestamp="1739026706"&gt;2921&lt;/key&gt;&lt;/foreign-keys&gt;&lt;ref-type name="Web Page"&gt;12&lt;/ref-type&gt;&lt;contributors&gt;&lt;authors&gt;&lt;author&gt;Fortune Business Insights,&lt;/author&gt;&lt;/authors&gt;&lt;/contributors&gt;&lt;titles&gt;&lt;title&gt;Web Hosting Services Market Size, Share &amp;amp; Industry Analysis, By Type (Shared Hosting, Dedicated Hosting, Collocated Hosting, Virtual Private Server Hosting, Managed Hosting, Self-Managed Hosting, and Others), By Application (Public Website, Mobile Application, Intranet Site, and Online Application), By Deployment (Public Cloud, Private Cloud, and Hybrid Cloud), and Regional Forecast, 2024-2032&lt;/title&gt;&lt;/titles&gt;&lt;volume&gt;2025&lt;/volume&gt;&lt;number&gt;8th February&lt;/number&gt;&lt;dates&gt;&lt;year&gt;2025&lt;/year&gt;&lt;/dates&gt;&lt;urls&gt;&lt;related-urls&gt;&lt;url&gt;https://www.fortunebusinessinsights.com/industry-reports/web-hosting-services-market-100863&lt;/url&gt;&lt;/related-urls&gt;&lt;/urls&gt;&lt;/record&gt;&lt;/Cite&gt;&lt;/EndNote&gt;</w:instrText>
      </w:r>
      <w:r w:rsidR="007F00A0">
        <w:rPr>
          <w:lang w:val="aa-ET"/>
        </w:rPr>
        <w:fldChar w:fldCharType="separate"/>
      </w:r>
      <w:r w:rsidR="007F00A0">
        <w:rPr>
          <w:noProof/>
          <w:lang w:val="aa-ET"/>
        </w:rPr>
        <w:t>(Fortune Business Insights, 2025)</w:t>
      </w:r>
      <w:r w:rsidR="007F00A0">
        <w:rPr>
          <w:lang w:val="aa-ET"/>
        </w:rPr>
        <w:fldChar w:fldCharType="end"/>
      </w:r>
      <w:r w:rsidR="0016250F" w:rsidRPr="0066628E">
        <w:t xml:space="preserve">. </w:t>
      </w:r>
    </w:p>
    <w:p w14:paraId="4D9E1DD5" w14:textId="77777777" w:rsidR="0016250F" w:rsidRPr="0066628E" w:rsidRDefault="0016250F" w:rsidP="0016250F">
      <w:pPr>
        <w:spacing w:line="480" w:lineRule="auto"/>
        <w:jc w:val="center"/>
        <w:rPr>
          <w:b/>
          <w:bCs/>
        </w:rPr>
      </w:pPr>
      <w:r w:rsidRPr="0066628E">
        <w:rPr>
          <w:b/>
          <w:bCs/>
        </w:rPr>
        <w:t>Current Industry Performance</w:t>
      </w:r>
    </w:p>
    <w:bookmarkEnd w:id="0"/>
    <w:p w14:paraId="45EB4B12" w14:textId="15250684" w:rsidR="0016250F" w:rsidRPr="00375C8A" w:rsidRDefault="00EB5510" w:rsidP="00550870">
      <w:pPr>
        <w:spacing w:line="480" w:lineRule="auto"/>
        <w:ind w:firstLine="720"/>
        <w:jc w:val="both"/>
        <w:rPr>
          <w:lang w:val="aa-ET"/>
        </w:rPr>
      </w:pPr>
      <w:r w:rsidRPr="00EB5510">
        <w:rPr>
          <w:lang w:val="aa-ET"/>
        </w:rPr>
        <w:t>Recent economic data show that the US data processing and hosting services industry is doing well in a competitive digital economy. Revenues from 2019 to 2024 are expected to be around $291.4 billion, representing a 5.4 percent CAGR, indicating sustained growth despite broader economic uncertainties. The web hosting segment generates the most revenue ($103.7 billion), while application services and business process management contribute significantly to the industry's financial stability</w:t>
      </w:r>
      <w:r w:rsidR="007F00A0">
        <w:rPr>
          <w:lang w:val="aa-ET"/>
        </w:rPr>
        <w:t xml:space="preserve"> </w:t>
      </w:r>
      <w:r w:rsidR="007F00A0">
        <w:rPr>
          <w:lang w:val="aa-ET"/>
        </w:rPr>
        <w:fldChar w:fldCharType="begin"/>
      </w:r>
      <w:r w:rsidR="007F00A0">
        <w:rPr>
          <w:lang w:val="aa-ET"/>
        </w:rPr>
        <w:instrText xml:space="preserve"> ADDIN EN.CITE &lt;EndNote&gt;&lt;Cite&gt;&lt;Author&gt;IBISWorld&lt;/Author&gt;&lt;Year&gt;2024&lt;/Year&gt;&lt;RecNum&gt;2920&lt;/RecNum&gt;&lt;DisplayText&gt;(IBISWorld, 2024)&lt;/DisplayText&gt;&lt;record&gt;&lt;rec-number&gt;2920&lt;/rec-number&gt;&lt;foreign-keys&gt;&lt;key app="EN" db-id="zxrtwszvnew9f9e9p0vv0wfld5x2wxp9wzp5" timestamp="1739026440"&gt;2920&lt;/key&gt;&lt;/foreign-keys&gt;&lt;ref-type name="Web Page"&gt;12&lt;/ref-type&gt;&lt;contributors&gt;&lt;authors&gt;&lt;author&gt;IBISWorld,&lt;/author&gt;&lt;/authors&gt;&lt;/contributors&gt;&lt;titles&gt;&lt;title&gt;Data Processing &amp;amp; Hosting Services in the US (Industry Report 51821)&lt;/title&gt;&lt;/titles&gt;&lt;volume&gt;2025&lt;/volume&gt;&lt;number&gt;8th February&lt;/number&gt;&lt;dates&gt;&lt;year&gt;2024&lt;/year&gt;&lt;/dates&gt;&lt;urls&gt;&lt;related-urls&gt;&lt;url&gt;https://my-ibisworld-com.trident.idm.oclc.org/us/en/industry/51821/performance#performance_current-performance&lt;/url&gt;&lt;/related-urls&gt;&lt;/urls&gt;&lt;/record&gt;&lt;/Cite&gt;&lt;/EndNote&gt;</w:instrText>
      </w:r>
      <w:r w:rsidR="007F00A0">
        <w:rPr>
          <w:lang w:val="aa-ET"/>
        </w:rPr>
        <w:fldChar w:fldCharType="separate"/>
      </w:r>
      <w:r w:rsidR="007F00A0">
        <w:rPr>
          <w:noProof/>
          <w:lang w:val="aa-ET"/>
        </w:rPr>
        <w:t>(IBISWorld, 2024)</w:t>
      </w:r>
      <w:r w:rsidR="007F00A0">
        <w:rPr>
          <w:lang w:val="aa-ET"/>
        </w:rPr>
        <w:fldChar w:fldCharType="end"/>
      </w:r>
      <w:r w:rsidRPr="00EB5510">
        <w:rPr>
          <w:lang w:val="aa-ET"/>
        </w:rPr>
        <w:t xml:space="preserve">. The industry's workforce, which now numbers more than 704,000 people, demonstrates the sector's ability to support a wide range of IT services. In addition to internal growth metrics, external research, such as the United States Economic Forecast (2024), shows that moderate inflation and increased digital connectivity have been critical in maintaining sector performance. These external factors have enabled businesses to invest in </w:t>
      </w:r>
      <w:r w:rsidRPr="00EB5510">
        <w:rPr>
          <w:lang w:val="aa-ET"/>
        </w:rPr>
        <w:lastRenderedPageBreak/>
        <w:t>next-generation technologies such as edge computing and artificial intelligence to improve data processing efficiency and reduce latency. Firms have also implemented strong cybersecurity frameworks in response to changing regulatory requirements and the rise of cyber threats. The competitive landscape is characterised by significant capital investments from leading companies such as Amazon, which has allocated significant resources to expanding its data centre footprint across multiple regions</w:t>
      </w:r>
      <w:r w:rsidR="007F00A0">
        <w:rPr>
          <w:lang w:val="aa-ET"/>
        </w:rPr>
        <w:t xml:space="preserve"> </w:t>
      </w:r>
      <w:r w:rsidR="007841D6">
        <w:rPr>
          <w:lang w:val="aa-ET"/>
        </w:rPr>
        <w:fldChar w:fldCharType="begin"/>
      </w:r>
      <w:r w:rsidR="007841D6">
        <w:rPr>
          <w:lang w:val="aa-ET"/>
        </w:rPr>
        <w:instrText xml:space="preserve"> ADDIN EN.CITE &lt;EndNote&gt;&lt;Cite&gt;&lt;Author&gt;Siddarth S&lt;/Author&gt;&lt;Year&gt;2025&lt;/Year&gt;&lt;RecNum&gt;2922&lt;/RecNum&gt;&lt;DisplayText&gt;(Siddarth S, 2025)&lt;/DisplayText&gt;&lt;record&gt;&lt;rec-number&gt;2922&lt;/rec-number&gt;&lt;foreign-keys&gt;&lt;key app="EN" db-id="zxrtwszvnew9f9e9p0vv0wfld5x2wxp9wzp5" timestamp="1739026831"&gt;2922&lt;/key&gt;&lt;/foreign-keys&gt;&lt;ref-type name="Web Page"&gt;12&lt;/ref-type&gt;&lt;contributors&gt;&lt;authors&gt;&lt;author&gt;Siddarth S,&lt;/author&gt;&lt;/authors&gt;&lt;/contributors&gt;&lt;titles&gt;&lt;title&gt;J.P.Morgan forecasts spending on data centers could boost US GDP by 20 basis points in 2025-26&lt;/title&gt;&lt;/titles&gt;&lt;volume&gt;2025&lt;/volume&gt;&lt;number&gt;8th February&lt;/number&gt;&lt;dates&gt;&lt;year&gt;2025&lt;/year&gt;&lt;/dates&gt;&lt;urls&gt;&lt;related-urls&gt;&lt;url&gt;https://www.reuters.com/markets/us/jpmorgan-forecasts-spending-data-centers-could-boost-us-gdp-by-20-basis-points-2025-01-16/?&lt;/url&gt;&lt;/related-urls&gt;&lt;/urls&gt;&lt;/record&gt;&lt;/Cite&gt;&lt;/EndNote&gt;</w:instrText>
      </w:r>
      <w:r w:rsidR="007841D6">
        <w:rPr>
          <w:lang w:val="aa-ET"/>
        </w:rPr>
        <w:fldChar w:fldCharType="separate"/>
      </w:r>
      <w:r w:rsidR="007841D6">
        <w:rPr>
          <w:noProof/>
          <w:lang w:val="aa-ET"/>
        </w:rPr>
        <w:t>(Siddarth S, 2025)</w:t>
      </w:r>
      <w:r w:rsidR="007841D6">
        <w:rPr>
          <w:lang w:val="aa-ET"/>
        </w:rPr>
        <w:fldChar w:fldCharType="end"/>
      </w:r>
      <w:r w:rsidRPr="00EB5510">
        <w:rPr>
          <w:lang w:val="aa-ET"/>
        </w:rPr>
        <w:t>. Furthermore, advances in data analytics and real-time processing have allowed businesses to provide higher service levels while maintaining competitive pricing structures. Market segmentation data show that outsourcing by businesses with limited in-house IT capabilities continues to drive revenue growth, particularly as companies look for cost-effective, scalable options. Despite challenges such as rising energy costs and the need to comply with stringent data privacy regulations, the industry's overall performance has been strong. Internal efficiencies, technological innovation, and strategic external investments have established the sector as a critical enabler of digital transformation across multiple industries</w:t>
      </w:r>
      <w:r w:rsidR="007F00A0">
        <w:rPr>
          <w:lang w:val="aa-ET"/>
        </w:rPr>
        <w:t xml:space="preserve"> </w:t>
      </w:r>
      <w:r w:rsidR="007F00A0">
        <w:rPr>
          <w:lang w:val="aa-ET"/>
        </w:rPr>
        <w:fldChar w:fldCharType="begin"/>
      </w:r>
      <w:r w:rsidR="007F00A0">
        <w:rPr>
          <w:lang w:val="aa-ET"/>
        </w:rPr>
        <w:instrText xml:space="preserve"> ADDIN EN.CITE &lt;EndNote&gt;&lt;Cite&gt;&lt;Author&gt;Morris&lt;/Author&gt;&lt;Year&gt;2025&lt;/Year&gt;&lt;RecNum&gt;2923&lt;/RecNum&gt;&lt;DisplayText&gt;(Morris &amp;amp; Uddin, 2025)&lt;/DisplayText&gt;&lt;record&gt;&lt;rec-number&gt;2923&lt;/rec-number&gt;&lt;foreign-keys&gt;&lt;key app="EN" db-id="zxrtwszvnew9f9e9p0vv0wfld5x2wxp9wzp5" timestamp="1739026912"&gt;2923&lt;/key&gt;&lt;/foreign-keys&gt;&lt;ref-type name="Web Page"&gt;12&lt;/ref-type&gt;&lt;contributors&gt;&lt;authors&gt;&lt;author&gt;Stephen Morris&lt;/author&gt;&lt;author&gt;Rafe Uddin&lt;/author&gt;&lt;/authors&gt;&lt;/contributors&gt;&lt;titles&gt;&lt;title&gt;Big Tech lines up over $300bn in AI spending for 2025&lt;/title&gt;&lt;/titles&gt;&lt;volume&gt;2025&lt;/volume&gt;&lt;number&gt;8th February&lt;/number&gt;&lt;dates&gt;&lt;year&gt;2025&lt;/year&gt;&lt;/dates&gt;&lt;urls&gt;&lt;related-urls&gt;&lt;url&gt;https://www.ft.com/content/634b7ec5-10c3-44d3-ae49-2a5b9ad566fa?&lt;/url&gt;&lt;/related-urls&gt;&lt;/urls&gt;&lt;/record&gt;&lt;/Cite&gt;&lt;/EndNote&gt;</w:instrText>
      </w:r>
      <w:r w:rsidR="007F00A0">
        <w:rPr>
          <w:lang w:val="aa-ET"/>
        </w:rPr>
        <w:fldChar w:fldCharType="separate"/>
      </w:r>
      <w:r w:rsidR="007F00A0">
        <w:rPr>
          <w:noProof/>
          <w:lang w:val="aa-ET"/>
        </w:rPr>
        <w:t>(Morris &amp; Uddin, 2025)</w:t>
      </w:r>
      <w:r w:rsidR="007F00A0">
        <w:rPr>
          <w:lang w:val="aa-ET"/>
        </w:rPr>
        <w:fldChar w:fldCharType="end"/>
      </w:r>
      <w:r w:rsidR="0016250F" w:rsidRPr="0066628E">
        <w:t>.</w:t>
      </w:r>
    </w:p>
    <w:p w14:paraId="6EABD172" w14:textId="77777777" w:rsidR="0016250F" w:rsidRPr="0066628E" w:rsidRDefault="0016250F" w:rsidP="0016250F">
      <w:pPr>
        <w:spacing w:line="480" w:lineRule="auto"/>
        <w:jc w:val="center"/>
        <w:rPr>
          <w:b/>
          <w:bCs/>
        </w:rPr>
      </w:pPr>
      <w:r w:rsidRPr="0066628E">
        <w:rPr>
          <w:b/>
          <w:bCs/>
        </w:rPr>
        <w:t>Industry Outlook</w:t>
      </w:r>
    </w:p>
    <w:p w14:paraId="508EEF6F" w14:textId="1DF5FF49" w:rsidR="0016250F" w:rsidRPr="00375C8A" w:rsidRDefault="006C6954" w:rsidP="00550870">
      <w:pPr>
        <w:spacing w:line="480" w:lineRule="auto"/>
        <w:ind w:firstLine="720"/>
        <w:jc w:val="both"/>
        <w:rPr>
          <w:lang w:val="aa-ET"/>
        </w:rPr>
      </w:pPr>
      <w:r w:rsidRPr="006C6954">
        <w:rPr>
          <w:lang w:val="aa-ET"/>
        </w:rPr>
        <w:t>U.S. data processing and hosting services revenue is expected to reach nearly $396.4 billion by 2029, a cautiously optimistic forecast. The projected CAGR for 2024–2029 is between 2.9 and 3.1 percent, reflecting a shift from rapid early growth to a mature market. Industry analysts say cloud, AI, and edge computing investments will drive growth. In particular, technological innovations should improve processing speeds and operational latency, improving service quality. To meet digital economy demands, data centre infrastructure must be expanded and energy efficiency and cybersecurity addressed</w:t>
      </w:r>
      <w:r w:rsidR="007841D6">
        <w:rPr>
          <w:lang w:val="aa-ET"/>
        </w:rPr>
        <w:t xml:space="preserve"> </w:t>
      </w:r>
      <w:r w:rsidR="007841D6">
        <w:rPr>
          <w:lang w:val="aa-ET"/>
        </w:rPr>
        <w:fldChar w:fldCharType="begin"/>
      </w:r>
      <w:r w:rsidR="007841D6">
        <w:rPr>
          <w:lang w:val="aa-ET"/>
        </w:rPr>
        <w:instrText xml:space="preserve"> ADDIN EN.CITE &lt;EndNote&gt;&lt;Cite&gt;&lt;Author&gt;Kalish&lt;/Author&gt;&lt;Year&gt;2024&lt;/Year&gt;&lt;RecNum&gt;2924&lt;/RecNum&gt;&lt;DisplayText&gt;(Kalish &amp;amp; Gibbard, 2024)&lt;/DisplayText&gt;&lt;record&gt;&lt;rec-number&gt;2924&lt;/rec-number&gt;&lt;foreign-keys&gt;&lt;key app="EN" db-id="zxrtwszvnew9f9e9p0vv0wfld5x2wxp9wzp5" timestamp="1739027120"&gt;2924&lt;/key&gt;&lt;/foreign-keys&gt;&lt;ref-type name="Web Page"&gt;12&lt;/ref-type&gt;&lt;contributors&gt;&lt;authors&gt;&lt;author&gt;Ira Kalish&lt;/author&gt;&lt;author&gt;Robyn Gibbard&lt;/author&gt;&lt;/authors&gt;&lt;/contributors&gt;&lt;titles&gt;&lt;title&gt;United States Economic Forecast&lt;/title&gt;&lt;/titles&gt;&lt;volume&gt;2025&lt;/volume&gt;&lt;number&gt;8th February&lt;/number&gt;&lt;dates&gt;&lt;year&gt;2024&lt;/year&gt;&lt;/dates&gt;&lt;urls&gt;&lt;related-urls&gt;&lt;url&gt;https://www2.deloitte.com/us/en/insights/economy/us-economic-forecast/united-states-outlook-analysis.html&lt;/url&gt;&lt;/related-urls&gt;&lt;/urls&gt;&lt;/record&gt;&lt;/Cite&gt;&lt;/EndNote&gt;</w:instrText>
      </w:r>
      <w:r w:rsidR="007841D6">
        <w:rPr>
          <w:lang w:val="aa-ET"/>
        </w:rPr>
        <w:fldChar w:fldCharType="separate"/>
      </w:r>
      <w:r w:rsidR="007841D6">
        <w:rPr>
          <w:noProof/>
          <w:lang w:val="aa-ET"/>
        </w:rPr>
        <w:t>(Kalish &amp; Gibbard, 2024)</w:t>
      </w:r>
      <w:r w:rsidR="007841D6">
        <w:rPr>
          <w:lang w:val="aa-ET"/>
        </w:rPr>
        <w:fldChar w:fldCharType="end"/>
      </w:r>
      <w:r w:rsidRPr="006C6954">
        <w:rPr>
          <w:lang w:val="aa-ET"/>
        </w:rPr>
        <w:t xml:space="preserve">. Economic reports, including the US Economic Forecast (2024), suggest that data privacy and local data storage regulations may </w:t>
      </w:r>
      <w:r w:rsidRPr="006C6954">
        <w:rPr>
          <w:lang w:val="aa-ET"/>
        </w:rPr>
        <w:lastRenderedPageBreak/>
        <w:t>spur investments in advanced security protocols and sustainable technologies</w:t>
      </w:r>
      <w:r w:rsidR="007841D6">
        <w:rPr>
          <w:lang w:val="aa-ET"/>
        </w:rPr>
        <w:t xml:space="preserve"> </w:t>
      </w:r>
      <w:r w:rsidR="007841D6">
        <w:rPr>
          <w:lang w:val="aa-ET"/>
        </w:rPr>
        <w:fldChar w:fldCharType="begin"/>
      </w:r>
      <w:r w:rsidR="007841D6">
        <w:rPr>
          <w:lang w:val="aa-ET"/>
        </w:rPr>
        <w:instrText xml:space="preserve"> ADDIN EN.CITE &lt;EndNote&gt;&lt;Cite&gt;&lt;Author&gt;Kalish&lt;/Author&gt;&lt;Year&gt;2024&lt;/Year&gt;&lt;RecNum&gt;2924&lt;/RecNum&gt;&lt;DisplayText&gt;(Kalish &amp;amp; Gibbard, 2024)&lt;/DisplayText&gt;&lt;record&gt;&lt;rec-number&gt;2924&lt;/rec-number&gt;&lt;foreign-keys&gt;&lt;key app="EN" db-id="zxrtwszvnew9f9e9p0vv0wfld5x2wxp9wzp5" timestamp="1739027120"&gt;2924&lt;/key&gt;&lt;/foreign-keys&gt;&lt;ref-type name="Web Page"&gt;12&lt;/ref-type&gt;&lt;contributors&gt;&lt;authors&gt;&lt;author&gt;Ira Kalish&lt;/author&gt;&lt;author&gt;Robyn Gibbard&lt;/author&gt;&lt;/authors&gt;&lt;/contributors&gt;&lt;titles&gt;&lt;title&gt;United States Economic Forecast&lt;/title&gt;&lt;/titles&gt;&lt;volume&gt;2025&lt;/volume&gt;&lt;number&gt;8th February&lt;/number&gt;&lt;dates&gt;&lt;year&gt;2024&lt;/year&gt;&lt;/dates&gt;&lt;urls&gt;&lt;related-urls&gt;&lt;url&gt;https://www2.deloitte.com/us/en/insights/economy/us-economic-forecast/united-states-outlook-analysis.html&lt;/url&gt;&lt;/related-urls&gt;&lt;/urls&gt;&lt;/record&gt;&lt;/Cite&gt;&lt;/EndNote&gt;</w:instrText>
      </w:r>
      <w:r w:rsidR="007841D6">
        <w:rPr>
          <w:lang w:val="aa-ET"/>
        </w:rPr>
        <w:fldChar w:fldCharType="separate"/>
      </w:r>
      <w:r w:rsidR="007841D6">
        <w:rPr>
          <w:noProof/>
          <w:lang w:val="aa-ET"/>
        </w:rPr>
        <w:t>(Kalish &amp; Gibbard, 2024)</w:t>
      </w:r>
      <w:r w:rsidR="007841D6">
        <w:rPr>
          <w:lang w:val="aa-ET"/>
        </w:rPr>
        <w:fldChar w:fldCharType="end"/>
      </w:r>
      <w:r w:rsidRPr="006C6954">
        <w:rPr>
          <w:lang w:val="aa-ET"/>
        </w:rPr>
        <w:t>. Despite high capital costs, these developments are expected to boost consumer confidence and regulatory compliance. The outlook also notes that quantum computing and blockchain could change data management and generate new revenue. Overall, while growth rates may moderate from previous explosive increases, the industry's structural strengths, including robust market demand and ongoing technological innovation, ensure its continued importance to the U.S. digital economy</w:t>
      </w:r>
      <w:r w:rsidR="007841D6">
        <w:rPr>
          <w:lang w:val="aa-ET"/>
        </w:rPr>
        <w:t xml:space="preserve"> </w:t>
      </w:r>
      <w:r w:rsidR="007841D6">
        <w:rPr>
          <w:lang w:val="aa-ET"/>
        </w:rPr>
        <w:fldChar w:fldCharType="begin"/>
      </w:r>
      <w:r w:rsidR="007841D6">
        <w:rPr>
          <w:lang w:val="aa-ET"/>
        </w:rPr>
        <w:instrText xml:space="preserve"> ADDIN EN.CITE &lt;EndNote&gt;&lt;Cite&gt;&lt;Author&gt;Kalish&lt;/Author&gt;&lt;Year&gt;2024&lt;/Year&gt;&lt;RecNum&gt;2924&lt;/RecNum&gt;&lt;DisplayText&gt;(Kalish &amp;amp; Gibbard, 2024)&lt;/DisplayText&gt;&lt;record&gt;&lt;rec-number&gt;2924&lt;/rec-number&gt;&lt;foreign-keys&gt;&lt;key app="EN" db-id="zxrtwszvnew9f9e9p0vv0wfld5x2wxp9wzp5" timestamp="1739027120"&gt;2924&lt;/key&gt;&lt;/foreign-keys&gt;&lt;ref-type name="Web Page"&gt;12&lt;/ref-type&gt;&lt;contributors&gt;&lt;authors&gt;&lt;author&gt;Ira Kalish&lt;/author&gt;&lt;author&gt;Robyn Gibbard&lt;/author&gt;&lt;/authors&gt;&lt;/contributors&gt;&lt;titles&gt;&lt;title&gt;United States Economic Forecast&lt;/title&gt;&lt;/titles&gt;&lt;volume&gt;2025&lt;/volume&gt;&lt;number&gt;8th February&lt;/number&gt;&lt;dates&gt;&lt;year&gt;2024&lt;/year&gt;&lt;/dates&gt;&lt;urls&gt;&lt;related-urls&gt;&lt;url&gt;https://www2.deloitte.com/us/en/insights/economy/us-economic-forecast/united-states-outlook-analysis.html&lt;/url&gt;&lt;/related-urls&gt;&lt;/urls&gt;&lt;/record&gt;&lt;/Cite&gt;&lt;/EndNote&gt;</w:instrText>
      </w:r>
      <w:r w:rsidR="007841D6">
        <w:rPr>
          <w:lang w:val="aa-ET"/>
        </w:rPr>
        <w:fldChar w:fldCharType="separate"/>
      </w:r>
      <w:r w:rsidR="007841D6">
        <w:rPr>
          <w:noProof/>
          <w:lang w:val="aa-ET"/>
        </w:rPr>
        <w:t>(Kalish &amp; Gibbard, 2024)</w:t>
      </w:r>
      <w:r w:rsidR="007841D6">
        <w:rPr>
          <w:lang w:val="aa-ET"/>
        </w:rPr>
        <w:fldChar w:fldCharType="end"/>
      </w:r>
      <w:r w:rsidR="0016250F" w:rsidRPr="0066628E">
        <w:t>.</w:t>
      </w:r>
    </w:p>
    <w:p w14:paraId="7F79F8D8" w14:textId="77777777" w:rsidR="000455F6" w:rsidRPr="007E1727" w:rsidRDefault="000455F6" w:rsidP="00302BC5">
      <w:pPr>
        <w:pStyle w:val="Blockquote"/>
        <w:spacing w:before="0" w:after="0" w:line="480" w:lineRule="auto"/>
        <w:ind w:left="0" w:right="0"/>
        <w:jc w:val="center"/>
        <w:rPr>
          <w:b/>
          <w:color w:val="000000"/>
          <w:szCs w:val="24"/>
        </w:rPr>
      </w:pPr>
      <w:r w:rsidRPr="007E1727">
        <w:rPr>
          <w:b/>
          <w:color w:val="000000"/>
          <w:szCs w:val="24"/>
        </w:rPr>
        <w:t>Conclusion</w:t>
      </w:r>
    </w:p>
    <w:p w14:paraId="054C6B70" w14:textId="68C4A586" w:rsidR="000455F6" w:rsidRPr="007E1727" w:rsidRDefault="00375C8A" w:rsidP="0090148F">
      <w:pPr>
        <w:tabs>
          <w:tab w:val="left" w:pos="360"/>
        </w:tabs>
        <w:overflowPunct w:val="0"/>
        <w:autoSpaceDE w:val="0"/>
        <w:autoSpaceDN w:val="0"/>
        <w:adjustRightInd w:val="0"/>
        <w:spacing w:line="480" w:lineRule="auto"/>
        <w:ind w:firstLine="360"/>
        <w:jc w:val="both"/>
        <w:textAlignment w:val="baseline"/>
        <w:rPr>
          <w:color w:val="000000"/>
        </w:rPr>
      </w:pPr>
      <w:r w:rsidRPr="00375C8A">
        <w:rPr>
          <w:color w:val="000000"/>
        </w:rPr>
        <w:t>The U.S. data processing and hosting services industry is a critical enabler of digital transformation, demonstrating robust performance and long-term resilience despite external challenges. Continued investments in advanced technologies and infrastructure will drive sustainable growth, ensuring the sector remains competitive in a rapidly evolving economic landscape</w:t>
      </w:r>
      <w:r w:rsidR="000455F6" w:rsidRPr="007E1727">
        <w:rPr>
          <w:color w:val="000000"/>
        </w:rPr>
        <w:t>.</w:t>
      </w:r>
      <w:r w:rsidR="00F96D0F" w:rsidRPr="007E1727">
        <w:t xml:space="preserve"> </w:t>
      </w:r>
    </w:p>
    <w:p w14:paraId="60BC5C3B" w14:textId="3B350F7A" w:rsidR="007F00A0" w:rsidRPr="007841D6" w:rsidRDefault="000455F6" w:rsidP="007841D6">
      <w:pPr>
        <w:tabs>
          <w:tab w:val="left" w:pos="360"/>
        </w:tabs>
        <w:overflowPunct w:val="0"/>
        <w:autoSpaceDE w:val="0"/>
        <w:autoSpaceDN w:val="0"/>
        <w:adjustRightInd w:val="0"/>
        <w:spacing w:line="480" w:lineRule="auto"/>
        <w:ind w:left="-360"/>
        <w:jc w:val="center"/>
        <w:textAlignment w:val="baseline"/>
        <w:rPr>
          <w:color w:val="000000"/>
          <w:highlight w:val="yellow"/>
        </w:rPr>
      </w:pPr>
      <w:r w:rsidRPr="007E1727">
        <w:rPr>
          <w:color w:val="000000"/>
        </w:rPr>
        <w:br w:type="page"/>
      </w:r>
      <w:r w:rsidRPr="007E1727">
        <w:rPr>
          <w:b/>
          <w:color w:val="000000"/>
        </w:rPr>
        <w:lastRenderedPageBreak/>
        <w:t>References</w:t>
      </w:r>
    </w:p>
    <w:p w14:paraId="70E8F39F" w14:textId="08262A65" w:rsidR="007841D6" w:rsidRPr="007841D6" w:rsidRDefault="007F00A0" w:rsidP="00AF252F">
      <w:pPr>
        <w:pStyle w:val="EndNoteBibliography"/>
        <w:ind w:left="720" w:hanging="720"/>
        <w:jc w:val="both"/>
      </w:pPr>
      <w:r>
        <w:rPr>
          <w:color w:val="000000"/>
        </w:rPr>
        <w:fldChar w:fldCharType="begin"/>
      </w:r>
      <w:r>
        <w:rPr>
          <w:color w:val="000000"/>
        </w:rPr>
        <w:instrText xml:space="preserve"> ADDIN EN.REFLIST </w:instrText>
      </w:r>
      <w:r>
        <w:rPr>
          <w:color w:val="000000"/>
        </w:rPr>
        <w:fldChar w:fldCharType="separate"/>
      </w:r>
      <w:r w:rsidR="007841D6" w:rsidRPr="007841D6">
        <w:t xml:space="preserve">Fortune Business Insights. (2025). </w:t>
      </w:r>
      <w:r w:rsidR="007841D6" w:rsidRPr="007841D6">
        <w:rPr>
          <w:i/>
        </w:rPr>
        <w:t>Web Hosting Services Market Size, Share &amp; Industry Analysis, By Type (Shared Hosting, Dedicated Hosting, Collocated Hosting, Virtual Private Server Hosting, Managed Hosting, Self-Managed Hosting, and Others), By Application (Public Website, Mobile Application, Intranet Site, and Online Application), By Deployment (Public Cloud, Private Cloud, and Hybrid Cloud), and Regional Forecast, 2024-2032</w:t>
      </w:r>
      <w:r w:rsidR="007841D6" w:rsidRPr="007841D6">
        <w:t xml:space="preserve">. Retrieved 8th February from </w:t>
      </w:r>
      <w:hyperlink r:id="rId7" w:history="1">
        <w:r w:rsidR="007841D6" w:rsidRPr="007841D6">
          <w:rPr>
            <w:rStyle w:val="Hyperlink"/>
          </w:rPr>
          <w:t>https://www.fortunebusinessinsights.com/industry-reports/web-hosting-services-market-100863</w:t>
        </w:r>
      </w:hyperlink>
    </w:p>
    <w:p w14:paraId="401007E9" w14:textId="11EAD026" w:rsidR="007841D6" w:rsidRPr="007841D6" w:rsidRDefault="007841D6" w:rsidP="00AF252F">
      <w:pPr>
        <w:pStyle w:val="EndNoteBibliography"/>
        <w:ind w:left="720" w:hanging="720"/>
        <w:jc w:val="both"/>
      </w:pPr>
      <w:r w:rsidRPr="007841D6">
        <w:t xml:space="preserve">IBISWorld. (2024). </w:t>
      </w:r>
      <w:r w:rsidRPr="007841D6">
        <w:rPr>
          <w:i/>
        </w:rPr>
        <w:t>Data Processing &amp; Hosting Services in the US (Industry Report 51821)</w:t>
      </w:r>
      <w:r w:rsidRPr="007841D6">
        <w:t xml:space="preserve">. Retrieved 8th February from </w:t>
      </w:r>
      <w:hyperlink r:id="rId8" w:anchor="performance_current-performance" w:history="1">
        <w:r w:rsidRPr="007841D6">
          <w:rPr>
            <w:rStyle w:val="Hyperlink"/>
          </w:rPr>
          <w:t>https://my-ibisworld-com.trident.idm.oclc.org/us/en/industry/51821/performance#performance_current-performance</w:t>
        </w:r>
      </w:hyperlink>
    </w:p>
    <w:p w14:paraId="6B2FF24A" w14:textId="47A14561" w:rsidR="007841D6" w:rsidRPr="007841D6" w:rsidRDefault="007841D6" w:rsidP="007841D6">
      <w:pPr>
        <w:pStyle w:val="EndNoteBibliography"/>
        <w:ind w:left="720" w:hanging="720"/>
        <w:jc w:val="left"/>
      </w:pPr>
      <w:r w:rsidRPr="007841D6">
        <w:t xml:space="preserve">Kalish, I., &amp; Gibbard, R. (2024). </w:t>
      </w:r>
      <w:r w:rsidRPr="007841D6">
        <w:rPr>
          <w:i/>
        </w:rPr>
        <w:t>United States Economic Forecast</w:t>
      </w:r>
      <w:r w:rsidRPr="007841D6">
        <w:t xml:space="preserve">. Retrieved 8th February from </w:t>
      </w:r>
      <w:hyperlink r:id="rId9" w:history="1">
        <w:r w:rsidRPr="007841D6">
          <w:rPr>
            <w:rStyle w:val="Hyperlink"/>
          </w:rPr>
          <w:t>https://www2.deloitte.com/us/en/insights/economy/us-economic-forecast/united-states-outlook-analysis.html</w:t>
        </w:r>
      </w:hyperlink>
    </w:p>
    <w:p w14:paraId="627F1EB1" w14:textId="449DD412" w:rsidR="007841D6" w:rsidRPr="007841D6" w:rsidRDefault="007841D6" w:rsidP="007841D6">
      <w:pPr>
        <w:pStyle w:val="EndNoteBibliography"/>
        <w:ind w:left="720" w:hanging="720"/>
        <w:jc w:val="left"/>
      </w:pPr>
      <w:r w:rsidRPr="007841D6">
        <w:t xml:space="preserve">Morris, S., &amp; Uddin, R. (2025). </w:t>
      </w:r>
      <w:r w:rsidRPr="007841D6">
        <w:rPr>
          <w:i/>
        </w:rPr>
        <w:t>Big Tech lines up over $300bn in AI spending for 2025</w:t>
      </w:r>
      <w:r w:rsidRPr="007841D6">
        <w:t xml:space="preserve">. Retrieved 8th February from </w:t>
      </w:r>
      <w:hyperlink r:id="rId10" w:history="1">
        <w:r w:rsidRPr="007841D6">
          <w:rPr>
            <w:rStyle w:val="Hyperlink"/>
          </w:rPr>
          <w:t>https://www.ft.com/content/634b7ec5-10c3-44d3-ae49-2a5b9ad566fa</w:t>
        </w:r>
      </w:hyperlink>
    </w:p>
    <w:p w14:paraId="7C78768E" w14:textId="420E9603" w:rsidR="007841D6" w:rsidRPr="007841D6" w:rsidRDefault="007841D6" w:rsidP="007841D6">
      <w:pPr>
        <w:pStyle w:val="EndNoteBibliography"/>
        <w:ind w:left="720" w:hanging="720"/>
        <w:jc w:val="left"/>
      </w:pPr>
      <w:r w:rsidRPr="007841D6">
        <w:t xml:space="preserve">Siddarth S. (2025). </w:t>
      </w:r>
      <w:r w:rsidRPr="007841D6">
        <w:rPr>
          <w:i/>
        </w:rPr>
        <w:t>J.P.Morgan forecasts spending on data centers could boost US GDP by 20 basis points in 2025-26</w:t>
      </w:r>
      <w:r w:rsidRPr="007841D6">
        <w:t xml:space="preserve">. Retrieved 8th February from </w:t>
      </w:r>
      <w:hyperlink r:id="rId11" w:history="1">
        <w:r w:rsidRPr="007841D6">
          <w:rPr>
            <w:rStyle w:val="Hyperlink"/>
          </w:rPr>
          <w:t>https://www.reuters.com/markets/us/jpmorgan-forecasts-spending-data-centers-could-boost-us-gdp-by-20-basis-points-2025-01-16/</w:t>
        </w:r>
      </w:hyperlink>
    </w:p>
    <w:p w14:paraId="0C520018" w14:textId="64ED3E35" w:rsidR="00A42F13" w:rsidRDefault="007F00A0" w:rsidP="007841D6">
      <w:pPr>
        <w:spacing w:line="480" w:lineRule="auto"/>
        <w:rPr>
          <w:color w:val="000000"/>
        </w:rPr>
      </w:pPr>
      <w:r>
        <w:rPr>
          <w:color w:val="000000"/>
        </w:rPr>
        <w:fldChar w:fldCharType="end"/>
      </w:r>
      <w:bookmarkStart w:id="1" w:name="_GoBack"/>
      <w:bookmarkEnd w:id="1"/>
    </w:p>
    <w:sectPr w:rsidR="00A42F13" w:rsidSect="003F5158">
      <w:headerReference w:type="default" r:id="rId12"/>
      <w:head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36CC1" w14:textId="77777777" w:rsidR="00A87BE3" w:rsidRDefault="00A87BE3">
      <w:r>
        <w:separator/>
      </w:r>
    </w:p>
  </w:endnote>
  <w:endnote w:type="continuationSeparator" w:id="0">
    <w:p w14:paraId="2A8ED4FC" w14:textId="77777777" w:rsidR="00A87BE3" w:rsidRDefault="00A8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C045" w14:textId="77777777" w:rsidR="00A87BE3" w:rsidRDefault="00A87BE3">
      <w:r>
        <w:separator/>
      </w:r>
    </w:p>
  </w:footnote>
  <w:footnote w:type="continuationSeparator" w:id="0">
    <w:p w14:paraId="13799144" w14:textId="77777777" w:rsidR="00A87BE3" w:rsidRDefault="00A8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AF252F">
      <w:rPr>
        <w:rStyle w:val="PageNumber"/>
        <w:noProof/>
      </w:rPr>
      <w:t>5</w:t>
    </w:r>
    <w:r>
      <w:rPr>
        <w:rStyle w:val="PageNumber"/>
      </w:rPr>
      <w:fldChar w:fldCharType="end"/>
    </w:r>
  </w:p>
  <w:p w14:paraId="3A9BF68D" w14:textId="64FF18F4" w:rsidR="00B32F73" w:rsidRPr="00352E8D" w:rsidRDefault="00ED7EAB" w:rsidP="003F5158">
    <w:pPr>
      <w:pStyle w:val="Header"/>
      <w:ind w:right="360"/>
      <w:rPr>
        <w:sz w:val="22"/>
        <w:szCs w:val="22"/>
      </w:rPr>
    </w:pPr>
    <w:r>
      <w:t>BUS5</w:t>
    </w:r>
    <w:r w:rsidR="007E1727">
      <w:t>00</w:t>
    </w:r>
    <w:r w:rsidR="00D0108C">
      <w:t xml:space="preserve"> </w:t>
    </w:r>
    <w:r w:rsidR="007F13BF">
      <w:t>SLP</w:t>
    </w:r>
    <w:r w:rsidR="006624AB">
      <w:t xml:space="preserve"> </w:t>
    </w:r>
    <w:r w:rsidR="0016250F">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550870">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D7AE0"/>
    <w:multiLevelType w:val="hybridMultilevel"/>
    <w:tmpl w:val="A552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37F63"/>
    <w:multiLevelType w:val="hybridMultilevel"/>
    <w:tmpl w:val="F36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81D"/>
    <w:multiLevelType w:val="hybridMultilevel"/>
    <w:tmpl w:val="6D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25"/>
  </w:num>
  <w:num w:numId="5">
    <w:abstractNumId w:val="1"/>
  </w:num>
  <w:num w:numId="6">
    <w:abstractNumId w:val="29"/>
  </w:num>
  <w:num w:numId="7">
    <w:abstractNumId w:val="26"/>
  </w:num>
  <w:num w:numId="8">
    <w:abstractNumId w:val="12"/>
  </w:num>
  <w:num w:numId="9">
    <w:abstractNumId w:val="2"/>
  </w:num>
  <w:num w:numId="10">
    <w:abstractNumId w:val="19"/>
  </w:num>
  <w:num w:numId="11">
    <w:abstractNumId w:val="4"/>
  </w:num>
  <w:num w:numId="12">
    <w:abstractNumId w:val="27"/>
  </w:num>
  <w:num w:numId="13">
    <w:abstractNumId w:val="28"/>
  </w:num>
  <w:num w:numId="14">
    <w:abstractNumId w:val="23"/>
  </w:num>
  <w:num w:numId="15">
    <w:abstractNumId w:val="32"/>
  </w:num>
  <w:num w:numId="16">
    <w:abstractNumId w:val="21"/>
  </w:num>
  <w:num w:numId="17">
    <w:abstractNumId w:val="33"/>
  </w:num>
  <w:num w:numId="18">
    <w:abstractNumId w:val="8"/>
  </w:num>
  <w:num w:numId="19">
    <w:abstractNumId w:val="6"/>
  </w:num>
  <w:num w:numId="20">
    <w:abstractNumId w:val="13"/>
  </w:num>
  <w:num w:numId="21">
    <w:abstractNumId w:val="22"/>
  </w:num>
  <w:num w:numId="22">
    <w:abstractNumId w:val="9"/>
  </w:num>
  <w:num w:numId="23">
    <w:abstractNumId w:val="24"/>
  </w:num>
  <w:num w:numId="24">
    <w:abstractNumId w:val="3"/>
  </w:num>
  <w:num w:numId="25">
    <w:abstractNumId w:val="30"/>
  </w:num>
  <w:num w:numId="26">
    <w:abstractNumId w:val="20"/>
  </w:num>
  <w:num w:numId="27">
    <w:abstractNumId w:val="10"/>
  </w:num>
  <w:num w:numId="28">
    <w:abstractNumId w:val="5"/>
  </w:num>
  <w:num w:numId="29">
    <w:abstractNumId w:val="31"/>
  </w:num>
  <w:num w:numId="30">
    <w:abstractNumId w:val="14"/>
  </w:num>
  <w:num w:numId="31">
    <w:abstractNumId w:val="0"/>
  </w:num>
  <w:num w:numId="32">
    <w:abstractNumId w:val="11"/>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Q0MzYztzC3MDE0MDFR0lEKTi0uzszPAykwMq0FAN2mvaQ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rtwszvnew9f9e9p0vv0wfld5x2wxp9wzp5&quot;&gt;My EndNote Library&lt;record-ids&gt;&lt;item&gt;2920&lt;/item&gt;&lt;item&gt;2921&lt;/item&gt;&lt;item&gt;2922&lt;/item&gt;&lt;item&gt;2923&lt;/item&gt;&lt;item&gt;2924&lt;/item&gt;&lt;/record-ids&gt;&lt;/item&gt;&lt;/Libraries&gt;"/>
  </w:docVars>
  <w:rsids>
    <w:rsidRoot w:val="0050433C"/>
    <w:rsid w:val="00026142"/>
    <w:rsid w:val="0003472F"/>
    <w:rsid w:val="000455F6"/>
    <w:rsid w:val="00047143"/>
    <w:rsid w:val="000511FA"/>
    <w:rsid w:val="0006074E"/>
    <w:rsid w:val="00081629"/>
    <w:rsid w:val="00085C7F"/>
    <w:rsid w:val="000A198A"/>
    <w:rsid w:val="000A39A9"/>
    <w:rsid w:val="000B008D"/>
    <w:rsid w:val="000B6AD6"/>
    <w:rsid w:val="000C144F"/>
    <w:rsid w:val="000C1741"/>
    <w:rsid w:val="000C6AD9"/>
    <w:rsid w:val="000E0F36"/>
    <w:rsid w:val="000F1641"/>
    <w:rsid w:val="00106FDE"/>
    <w:rsid w:val="001147C1"/>
    <w:rsid w:val="00131A1B"/>
    <w:rsid w:val="001377D4"/>
    <w:rsid w:val="00147909"/>
    <w:rsid w:val="00150EEF"/>
    <w:rsid w:val="00154F49"/>
    <w:rsid w:val="0016250F"/>
    <w:rsid w:val="00163836"/>
    <w:rsid w:val="00167D67"/>
    <w:rsid w:val="001758DE"/>
    <w:rsid w:val="00182003"/>
    <w:rsid w:val="001A55A9"/>
    <w:rsid w:val="001D090F"/>
    <w:rsid w:val="001D1CD9"/>
    <w:rsid w:val="001F40F3"/>
    <w:rsid w:val="0020174B"/>
    <w:rsid w:val="0020241D"/>
    <w:rsid w:val="00211094"/>
    <w:rsid w:val="0021351E"/>
    <w:rsid w:val="002260F7"/>
    <w:rsid w:val="002354EC"/>
    <w:rsid w:val="002439C9"/>
    <w:rsid w:val="00253713"/>
    <w:rsid w:val="00256256"/>
    <w:rsid w:val="00286395"/>
    <w:rsid w:val="002A2C9F"/>
    <w:rsid w:val="002B6BFA"/>
    <w:rsid w:val="002C00BE"/>
    <w:rsid w:val="002C7462"/>
    <w:rsid w:val="002D755D"/>
    <w:rsid w:val="002E6180"/>
    <w:rsid w:val="002F7DEF"/>
    <w:rsid w:val="00302BC5"/>
    <w:rsid w:val="00312827"/>
    <w:rsid w:val="00340A2C"/>
    <w:rsid w:val="00352229"/>
    <w:rsid w:val="00352E8D"/>
    <w:rsid w:val="00354C36"/>
    <w:rsid w:val="00356E85"/>
    <w:rsid w:val="00361978"/>
    <w:rsid w:val="00364C68"/>
    <w:rsid w:val="00375C8A"/>
    <w:rsid w:val="003A0026"/>
    <w:rsid w:val="003A1801"/>
    <w:rsid w:val="003B7948"/>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0870"/>
    <w:rsid w:val="00554059"/>
    <w:rsid w:val="0055467F"/>
    <w:rsid w:val="00561A56"/>
    <w:rsid w:val="00565081"/>
    <w:rsid w:val="0057635E"/>
    <w:rsid w:val="00581CE2"/>
    <w:rsid w:val="00594E2F"/>
    <w:rsid w:val="00595B65"/>
    <w:rsid w:val="005A4691"/>
    <w:rsid w:val="005E5214"/>
    <w:rsid w:val="005E5984"/>
    <w:rsid w:val="005F3678"/>
    <w:rsid w:val="005F75ED"/>
    <w:rsid w:val="00602123"/>
    <w:rsid w:val="0060394A"/>
    <w:rsid w:val="006124DB"/>
    <w:rsid w:val="00614C45"/>
    <w:rsid w:val="00625523"/>
    <w:rsid w:val="006416F4"/>
    <w:rsid w:val="006431F1"/>
    <w:rsid w:val="00660724"/>
    <w:rsid w:val="006624AB"/>
    <w:rsid w:val="00671116"/>
    <w:rsid w:val="00672D33"/>
    <w:rsid w:val="006730B0"/>
    <w:rsid w:val="00674A8C"/>
    <w:rsid w:val="006A5C5E"/>
    <w:rsid w:val="006B25B5"/>
    <w:rsid w:val="006C6954"/>
    <w:rsid w:val="006E1EF5"/>
    <w:rsid w:val="006E4362"/>
    <w:rsid w:val="006F527A"/>
    <w:rsid w:val="0070200D"/>
    <w:rsid w:val="00711DC4"/>
    <w:rsid w:val="007572B6"/>
    <w:rsid w:val="007841D6"/>
    <w:rsid w:val="007A1B1F"/>
    <w:rsid w:val="007D1376"/>
    <w:rsid w:val="007E1727"/>
    <w:rsid w:val="007F00A0"/>
    <w:rsid w:val="007F13BF"/>
    <w:rsid w:val="007F79BB"/>
    <w:rsid w:val="008026AA"/>
    <w:rsid w:val="0081017D"/>
    <w:rsid w:val="00824636"/>
    <w:rsid w:val="008255DE"/>
    <w:rsid w:val="00841A9E"/>
    <w:rsid w:val="00841F4A"/>
    <w:rsid w:val="00844EE7"/>
    <w:rsid w:val="00854C46"/>
    <w:rsid w:val="0086510C"/>
    <w:rsid w:val="00873554"/>
    <w:rsid w:val="00880C08"/>
    <w:rsid w:val="00883AAD"/>
    <w:rsid w:val="00896609"/>
    <w:rsid w:val="008B7F59"/>
    <w:rsid w:val="008C7966"/>
    <w:rsid w:val="008D23AA"/>
    <w:rsid w:val="008D3F0D"/>
    <w:rsid w:val="008D5C02"/>
    <w:rsid w:val="008E469D"/>
    <w:rsid w:val="008F74C4"/>
    <w:rsid w:val="009007D4"/>
    <w:rsid w:val="0090148F"/>
    <w:rsid w:val="0091254D"/>
    <w:rsid w:val="0094570E"/>
    <w:rsid w:val="00954A41"/>
    <w:rsid w:val="00960B22"/>
    <w:rsid w:val="009749F9"/>
    <w:rsid w:val="009758CD"/>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7498"/>
    <w:rsid w:val="00A426A5"/>
    <w:rsid w:val="00A42F13"/>
    <w:rsid w:val="00A4532E"/>
    <w:rsid w:val="00A6361F"/>
    <w:rsid w:val="00A725AF"/>
    <w:rsid w:val="00A75CFC"/>
    <w:rsid w:val="00A87BE3"/>
    <w:rsid w:val="00A93CC1"/>
    <w:rsid w:val="00A95E3A"/>
    <w:rsid w:val="00AA3F20"/>
    <w:rsid w:val="00AB282D"/>
    <w:rsid w:val="00AD4FAC"/>
    <w:rsid w:val="00AE1D46"/>
    <w:rsid w:val="00AE3507"/>
    <w:rsid w:val="00AF252F"/>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80515"/>
    <w:rsid w:val="00B8112C"/>
    <w:rsid w:val="00B93D96"/>
    <w:rsid w:val="00BD1C8D"/>
    <w:rsid w:val="00BD3733"/>
    <w:rsid w:val="00BD6FF4"/>
    <w:rsid w:val="00BE410C"/>
    <w:rsid w:val="00BF7C6E"/>
    <w:rsid w:val="00C11195"/>
    <w:rsid w:val="00C16DDC"/>
    <w:rsid w:val="00C21C1C"/>
    <w:rsid w:val="00C22265"/>
    <w:rsid w:val="00C277CE"/>
    <w:rsid w:val="00C31727"/>
    <w:rsid w:val="00C51C2A"/>
    <w:rsid w:val="00C5533D"/>
    <w:rsid w:val="00C74F8E"/>
    <w:rsid w:val="00C769CD"/>
    <w:rsid w:val="00C863E2"/>
    <w:rsid w:val="00C9472F"/>
    <w:rsid w:val="00CA791D"/>
    <w:rsid w:val="00CC057E"/>
    <w:rsid w:val="00CC3628"/>
    <w:rsid w:val="00CD2528"/>
    <w:rsid w:val="00CE2E66"/>
    <w:rsid w:val="00CF070A"/>
    <w:rsid w:val="00D0108C"/>
    <w:rsid w:val="00D13AC0"/>
    <w:rsid w:val="00D172FE"/>
    <w:rsid w:val="00D200BF"/>
    <w:rsid w:val="00D47CA9"/>
    <w:rsid w:val="00D57D30"/>
    <w:rsid w:val="00D7332A"/>
    <w:rsid w:val="00D844B2"/>
    <w:rsid w:val="00D87258"/>
    <w:rsid w:val="00D96DDF"/>
    <w:rsid w:val="00DA07CA"/>
    <w:rsid w:val="00DB099B"/>
    <w:rsid w:val="00DB7248"/>
    <w:rsid w:val="00DD0C4D"/>
    <w:rsid w:val="00DE1A4A"/>
    <w:rsid w:val="00DE29CE"/>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80CFF"/>
    <w:rsid w:val="00E940DC"/>
    <w:rsid w:val="00E94A62"/>
    <w:rsid w:val="00EB211C"/>
    <w:rsid w:val="00EB5510"/>
    <w:rsid w:val="00EB65C0"/>
    <w:rsid w:val="00EC03B6"/>
    <w:rsid w:val="00ED47C2"/>
    <w:rsid w:val="00ED7EAB"/>
    <w:rsid w:val="00EF1CB2"/>
    <w:rsid w:val="00EF57CD"/>
    <w:rsid w:val="00F20699"/>
    <w:rsid w:val="00F257CE"/>
    <w:rsid w:val="00F35BE5"/>
    <w:rsid w:val="00F378C4"/>
    <w:rsid w:val="00F43BA1"/>
    <w:rsid w:val="00F468D1"/>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1B4F"/>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link w:val="ListParagraphChar"/>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ListParagraphChar">
    <w:name w:val="List Paragraph Char"/>
    <w:basedOn w:val="DefaultParagraphFont"/>
    <w:link w:val="ListParagraph"/>
    <w:uiPriority w:val="34"/>
    <w:locked/>
    <w:rsid w:val="00ED7EAB"/>
    <w:rPr>
      <w:sz w:val="24"/>
      <w:szCs w:val="24"/>
    </w:rPr>
  </w:style>
  <w:style w:type="paragraph" w:customStyle="1" w:styleId="EndNoteBibliographyTitle">
    <w:name w:val="EndNote Bibliography Title"/>
    <w:basedOn w:val="Normal"/>
    <w:link w:val="EndNoteBibliographyTitleChar"/>
    <w:rsid w:val="007F00A0"/>
    <w:pPr>
      <w:jc w:val="center"/>
    </w:pPr>
    <w:rPr>
      <w:noProof/>
    </w:rPr>
  </w:style>
  <w:style w:type="character" w:customStyle="1" w:styleId="EndNoteBibliographyTitleChar">
    <w:name w:val="EndNote Bibliography Title Char"/>
    <w:basedOn w:val="DefaultParagraphFont"/>
    <w:link w:val="EndNoteBibliographyTitle"/>
    <w:rsid w:val="007F00A0"/>
    <w:rPr>
      <w:noProof/>
      <w:sz w:val="24"/>
      <w:szCs w:val="24"/>
    </w:rPr>
  </w:style>
  <w:style w:type="paragraph" w:customStyle="1" w:styleId="EndNoteBibliography">
    <w:name w:val="EndNote Bibliography"/>
    <w:basedOn w:val="Normal"/>
    <w:link w:val="EndNoteBibliographyChar"/>
    <w:rsid w:val="007F00A0"/>
    <w:pPr>
      <w:jc w:val="center"/>
    </w:pPr>
    <w:rPr>
      <w:noProof/>
    </w:rPr>
  </w:style>
  <w:style w:type="character" w:customStyle="1" w:styleId="EndNoteBibliographyChar">
    <w:name w:val="EndNote Bibliography Char"/>
    <w:basedOn w:val="DefaultParagraphFont"/>
    <w:link w:val="EndNoteBibliography"/>
    <w:rsid w:val="007F00A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8505">
      <w:bodyDiv w:val="1"/>
      <w:marLeft w:val="0"/>
      <w:marRight w:val="0"/>
      <w:marTop w:val="0"/>
      <w:marBottom w:val="0"/>
      <w:divBdr>
        <w:top w:val="none" w:sz="0" w:space="0" w:color="auto"/>
        <w:left w:val="none" w:sz="0" w:space="0" w:color="auto"/>
        <w:bottom w:val="none" w:sz="0" w:space="0" w:color="auto"/>
        <w:right w:val="none" w:sz="0" w:space="0" w:color="auto"/>
      </w:divBdr>
    </w:div>
    <w:div w:id="241070066">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572544143">
      <w:bodyDiv w:val="1"/>
      <w:marLeft w:val="0"/>
      <w:marRight w:val="0"/>
      <w:marTop w:val="0"/>
      <w:marBottom w:val="0"/>
      <w:divBdr>
        <w:top w:val="none" w:sz="0" w:space="0" w:color="auto"/>
        <w:left w:val="none" w:sz="0" w:space="0" w:color="auto"/>
        <w:bottom w:val="none" w:sz="0" w:space="0" w:color="auto"/>
        <w:right w:val="none" w:sz="0" w:space="0" w:color="auto"/>
      </w:divBdr>
    </w:div>
    <w:div w:id="730234317">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939680310">
      <w:bodyDiv w:val="1"/>
      <w:marLeft w:val="0"/>
      <w:marRight w:val="0"/>
      <w:marTop w:val="0"/>
      <w:marBottom w:val="0"/>
      <w:divBdr>
        <w:top w:val="none" w:sz="0" w:space="0" w:color="auto"/>
        <w:left w:val="none" w:sz="0" w:space="0" w:color="auto"/>
        <w:bottom w:val="none" w:sz="0" w:space="0" w:color="auto"/>
        <w:right w:val="none" w:sz="0" w:space="0" w:color="auto"/>
      </w:divBdr>
    </w:div>
    <w:div w:id="1084835396">
      <w:bodyDiv w:val="1"/>
      <w:marLeft w:val="0"/>
      <w:marRight w:val="0"/>
      <w:marTop w:val="0"/>
      <w:marBottom w:val="0"/>
      <w:divBdr>
        <w:top w:val="none" w:sz="0" w:space="0" w:color="auto"/>
        <w:left w:val="none" w:sz="0" w:space="0" w:color="auto"/>
        <w:bottom w:val="none" w:sz="0" w:space="0" w:color="auto"/>
        <w:right w:val="none" w:sz="0" w:space="0" w:color="auto"/>
      </w:divBdr>
    </w:div>
    <w:div w:id="1257471492">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75490096">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608613145">
      <w:bodyDiv w:val="1"/>
      <w:marLeft w:val="0"/>
      <w:marRight w:val="0"/>
      <w:marTop w:val="0"/>
      <w:marBottom w:val="0"/>
      <w:divBdr>
        <w:top w:val="none" w:sz="0" w:space="0" w:color="auto"/>
        <w:left w:val="none" w:sz="0" w:space="0" w:color="auto"/>
        <w:bottom w:val="none" w:sz="0" w:space="0" w:color="auto"/>
        <w:right w:val="none" w:sz="0" w:space="0" w:color="auto"/>
      </w:divBdr>
    </w:div>
    <w:div w:id="1724013659">
      <w:bodyDiv w:val="1"/>
      <w:marLeft w:val="0"/>
      <w:marRight w:val="0"/>
      <w:marTop w:val="0"/>
      <w:marBottom w:val="0"/>
      <w:divBdr>
        <w:top w:val="none" w:sz="0" w:space="0" w:color="auto"/>
        <w:left w:val="none" w:sz="0" w:space="0" w:color="auto"/>
        <w:bottom w:val="none" w:sz="0" w:space="0" w:color="auto"/>
        <w:right w:val="none" w:sz="0" w:space="0" w:color="auto"/>
      </w:divBdr>
    </w:div>
    <w:div w:id="1811558120">
      <w:bodyDiv w:val="1"/>
      <w:marLeft w:val="0"/>
      <w:marRight w:val="0"/>
      <w:marTop w:val="0"/>
      <w:marBottom w:val="0"/>
      <w:divBdr>
        <w:top w:val="none" w:sz="0" w:space="0" w:color="auto"/>
        <w:left w:val="none" w:sz="0" w:space="0" w:color="auto"/>
        <w:bottom w:val="none" w:sz="0" w:space="0" w:color="auto"/>
        <w:right w:val="none" w:sz="0" w:space="0" w:color="auto"/>
      </w:divBdr>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06790991">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7839">
      <w:bodyDiv w:val="1"/>
      <w:marLeft w:val="0"/>
      <w:marRight w:val="0"/>
      <w:marTop w:val="0"/>
      <w:marBottom w:val="0"/>
      <w:divBdr>
        <w:top w:val="none" w:sz="0" w:space="0" w:color="auto"/>
        <w:left w:val="none" w:sz="0" w:space="0" w:color="auto"/>
        <w:bottom w:val="none" w:sz="0" w:space="0" w:color="auto"/>
        <w:right w:val="none" w:sz="0" w:space="0" w:color="auto"/>
      </w:divBdr>
    </w:div>
    <w:div w:id="2054427489">
      <w:bodyDiv w:val="1"/>
      <w:marLeft w:val="0"/>
      <w:marRight w:val="0"/>
      <w:marTop w:val="0"/>
      <w:marBottom w:val="0"/>
      <w:divBdr>
        <w:top w:val="none" w:sz="0" w:space="0" w:color="auto"/>
        <w:left w:val="none" w:sz="0" w:space="0" w:color="auto"/>
        <w:bottom w:val="none" w:sz="0" w:space="0" w:color="auto"/>
        <w:right w:val="none" w:sz="0" w:space="0" w:color="auto"/>
      </w:divBdr>
    </w:div>
    <w:div w:id="2117407660">
      <w:bodyDiv w:val="1"/>
      <w:marLeft w:val="0"/>
      <w:marRight w:val="0"/>
      <w:marTop w:val="0"/>
      <w:marBottom w:val="0"/>
      <w:divBdr>
        <w:top w:val="none" w:sz="0" w:space="0" w:color="auto"/>
        <w:left w:val="none" w:sz="0" w:space="0" w:color="auto"/>
        <w:bottom w:val="none" w:sz="0" w:space="0" w:color="auto"/>
        <w:right w:val="none" w:sz="0" w:space="0" w:color="auto"/>
      </w:divBdr>
    </w:div>
    <w:div w:id="21330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ibisworld-com.trident.idm.oclc.org/us/en/industry/51821/performan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ortunebusinessinsights.com/industry-reports/web-hosting-services-market-10086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ters.com/markets/us/jpmorgan-forecasts-spending-data-centers-could-boost-us-gdp-by-20-basis-points-2025-01-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t.com/content/634b7ec5-10c3-44d3-ae49-2a5b9ad566fa" TargetMode="External"/><Relationship Id="rId4" Type="http://schemas.openxmlformats.org/officeDocument/2006/relationships/webSettings" Target="webSettings.xml"/><Relationship Id="rId9" Type="http://schemas.openxmlformats.org/officeDocument/2006/relationships/hyperlink" Target="https://www2.deloitte.com/us/en/insights/economy/us-economic-forecast/united-states-outlook-analysi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2357</Words>
  <Characters>13435</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2025-01-27T23:52:00Z</dcterms:created>
  <dcterms:modified xsi:type="dcterms:W3CDTF">2025-02-11T18:01:00Z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2025-02-08T14:42:25Z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e4c17908-c14d-44d8-b8eb-109f609a7e57</vt:lpwstr>
  </property>
  <property fmtid="{D5CDD505-2E9C-101B-9397-08002B2CF9AE}" pid="7" name="MSIP_Label_defa4170-0d19-0005-0004-bc88714345d2_ActionId">
    <vt:lpwstr>23bd66cf-fd56-4c7f-8dee-689938884c9e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