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6651F3B3" w:rsidR="00286395" w:rsidRPr="007E1727" w:rsidRDefault="00ED7EAB" w:rsidP="00F378C4">
      <w:pPr>
        <w:spacing w:line="480" w:lineRule="auto"/>
        <w:jc w:val="center"/>
        <w:rPr>
          <w:b/>
          <w:bCs/>
        </w:rPr>
      </w:pPr>
      <w:r>
        <w:rPr>
          <w:b/>
          <w:bCs/>
        </w:rPr>
        <w:t>BUS50</w:t>
      </w:r>
      <w:r w:rsidR="007E1727" w:rsidRPr="007E1727">
        <w:rPr>
          <w:b/>
          <w:bCs/>
        </w:rPr>
        <w:t>0</w:t>
      </w:r>
      <w:r w:rsidR="003C7F15" w:rsidRPr="007E1727">
        <w:rPr>
          <w:b/>
          <w:bCs/>
        </w:rPr>
        <w:t xml:space="preserve"> </w:t>
      </w:r>
      <w:r w:rsidR="007F13BF">
        <w:rPr>
          <w:b/>
          <w:bCs/>
        </w:rPr>
        <w:t>SLP</w:t>
      </w:r>
      <w:r w:rsidR="006624AB" w:rsidRPr="007E1727">
        <w:rPr>
          <w:b/>
          <w:bCs/>
        </w:rPr>
        <w:t xml:space="preserve"> </w:t>
      </w:r>
      <w:r w:rsidR="00FA6078">
        <w:rPr>
          <w:b/>
          <w:bCs/>
        </w:rPr>
        <w:t>3</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proofErr w:type="gramStart"/>
      <w:r w:rsidRPr="007E1727">
        <w:t>Your</w:t>
      </w:r>
      <w:proofErr w:type="gramEnd"/>
      <w:r w:rsidRPr="007E1727">
        <w:t xml:space="preserve">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70C02BAD" w:rsidR="007E1727" w:rsidRPr="007E1727" w:rsidRDefault="00ED7EAB" w:rsidP="00F378C4">
      <w:pPr>
        <w:spacing w:line="480" w:lineRule="auto"/>
        <w:jc w:val="center"/>
      </w:pPr>
      <w:r>
        <w:t>BUS5</w:t>
      </w:r>
      <w:r w:rsidR="007E1727" w:rsidRPr="007E1727">
        <w:t xml:space="preserve">00 </w:t>
      </w:r>
      <w:r>
        <w:t>Financial Intelligence</w:t>
      </w:r>
    </w:p>
    <w:p w14:paraId="54C389E1" w14:textId="7A086B20" w:rsidR="00844EE7" w:rsidRPr="007E1727" w:rsidRDefault="00454CAF" w:rsidP="00F378C4">
      <w:pPr>
        <w:spacing w:line="480" w:lineRule="auto"/>
        <w:jc w:val="center"/>
      </w:pPr>
      <w:r w:rsidRPr="007E1727">
        <w:t>Due Date</w:t>
      </w:r>
    </w:p>
    <w:p w14:paraId="6C8D5EF8" w14:textId="56D46919" w:rsidR="003C7F15" w:rsidRPr="007E1727" w:rsidRDefault="00352E8D" w:rsidP="003C7F15">
      <w:pPr>
        <w:spacing w:line="480" w:lineRule="auto"/>
        <w:jc w:val="center"/>
        <w:rPr>
          <w:b/>
          <w:bCs/>
        </w:rPr>
      </w:pPr>
      <w:r w:rsidRPr="007E1727">
        <w:br w:type="page"/>
      </w:r>
    </w:p>
    <w:p w14:paraId="1DF862F2" w14:textId="03D7EF8B" w:rsidR="00D200BF" w:rsidRPr="007E1727" w:rsidRDefault="00ED7EAB" w:rsidP="00B224B6">
      <w:pPr>
        <w:spacing w:line="480" w:lineRule="auto"/>
        <w:jc w:val="center"/>
        <w:rPr>
          <w:b/>
          <w:bCs/>
        </w:rPr>
      </w:pPr>
      <w:r>
        <w:rPr>
          <w:b/>
          <w:bCs/>
        </w:rPr>
        <w:lastRenderedPageBreak/>
        <w:t>BUS500</w:t>
      </w:r>
      <w:r w:rsidR="003C7F15" w:rsidRPr="007E1727">
        <w:rPr>
          <w:b/>
          <w:bCs/>
        </w:rPr>
        <w:t xml:space="preserve"> </w:t>
      </w:r>
      <w:r w:rsidR="007F13BF">
        <w:rPr>
          <w:b/>
          <w:bCs/>
        </w:rPr>
        <w:t>SLP</w:t>
      </w:r>
      <w:r w:rsidR="006624AB" w:rsidRPr="007E1727">
        <w:rPr>
          <w:b/>
          <w:bCs/>
        </w:rPr>
        <w:t xml:space="preserve"> </w:t>
      </w:r>
      <w:r w:rsidR="00FA6078">
        <w:rPr>
          <w:b/>
          <w:bCs/>
        </w:rPr>
        <w:t>3</w:t>
      </w:r>
    </w:p>
    <w:p w14:paraId="16B93B5E" w14:textId="54AC2766" w:rsidR="00302BC5" w:rsidRDefault="003322C8" w:rsidP="00DA0FD7">
      <w:pPr>
        <w:spacing w:line="480" w:lineRule="auto"/>
        <w:ind w:firstLine="720"/>
        <w:jc w:val="both"/>
        <w:rPr>
          <w:rFonts w:eastAsia="Calibri"/>
          <w:b/>
          <w:bCs/>
        </w:rPr>
      </w:pPr>
      <w:r w:rsidRPr="003322C8">
        <w:t xml:space="preserve">This paper analyzes the financial performance of </w:t>
      </w:r>
      <w:proofErr w:type="spellStart"/>
      <w:r w:rsidRPr="003322C8">
        <w:t>GigaCloud</w:t>
      </w:r>
      <w:proofErr w:type="spellEnd"/>
      <w:r w:rsidRPr="003322C8">
        <w:t xml:space="preserve"> Technology Inc. using its most recent 2023 Annual Report and real-time stock data. The analysis examines key balance sheet metrics and market valuation indicators and discusses analyst recommendation trends to assess the company’s investment potential</w:t>
      </w:r>
      <w:r>
        <w:t xml:space="preserve">. </w:t>
      </w:r>
    </w:p>
    <w:p w14:paraId="45603438" w14:textId="77777777" w:rsidR="00FA6078" w:rsidRPr="0071116B" w:rsidRDefault="00FA6078" w:rsidP="00FA6078">
      <w:pPr>
        <w:spacing w:line="480" w:lineRule="auto"/>
        <w:jc w:val="center"/>
      </w:pPr>
      <w:r w:rsidRPr="0071116B">
        <w:rPr>
          <w:b/>
          <w:bCs/>
        </w:rPr>
        <w:t>Balance Sheet</w:t>
      </w:r>
    </w:p>
    <w:tbl>
      <w:tblPr>
        <w:tblStyle w:val="TableGrid"/>
        <w:tblW w:w="0" w:type="auto"/>
        <w:tblLook w:val="04A0" w:firstRow="1" w:lastRow="0" w:firstColumn="1" w:lastColumn="0" w:noHBand="0" w:noVBand="1"/>
      </w:tblPr>
      <w:tblGrid>
        <w:gridCol w:w="3466"/>
        <w:gridCol w:w="3030"/>
        <w:gridCol w:w="2854"/>
      </w:tblGrid>
      <w:tr w:rsidR="00FA6078" w:rsidRPr="0071116B" w14:paraId="652138E1" w14:textId="77777777" w:rsidTr="005D7A94">
        <w:tc>
          <w:tcPr>
            <w:tcW w:w="9445" w:type="dxa"/>
            <w:gridSpan w:val="3"/>
          </w:tcPr>
          <w:p w14:paraId="16C02A3E" w14:textId="5FCEAD3F" w:rsidR="00FA6078" w:rsidRPr="0071116B" w:rsidRDefault="003322C8" w:rsidP="005D7A94">
            <w:proofErr w:type="spellStart"/>
            <w:r w:rsidRPr="003322C8">
              <w:t>GigaCloud</w:t>
            </w:r>
            <w:proofErr w:type="spellEnd"/>
            <w:r w:rsidRPr="003322C8">
              <w:t xml:space="preserve"> Technology Inc.</w:t>
            </w:r>
          </w:p>
        </w:tc>
      </w:tr>
      <w:tr w:rsidR="00FA6078" w:rsidRPr="0071116B" w14:paraId="1B89A2A5" w14:textId="77777777" w:rsidTr="005D7A94">
        <w:tc>
          <w:tcPr>
            <w:tcW w:w="3505" w:type="dxa"/>
          </w:tcPr>
          <w:p w14:paraId="468FFDF5" w14:textId="77777777" w:rsidR="00FA6078" w:rsidRPr="0071116B" w:rsidRDefault="00FA6078" w:rsidP="005D7A94"/>
        </w:tc>
        <w:tc>
          <w:tcPr>
            <w:tcW w:w="3060" w:type="dxa"/>
          </w:tcPr>
          <w:p w14:paraId="1D0E8143" w14:textId="234DF320" w:rsidR="00FA6078" w:rsidRPr="0071116B" w:rsidRDefault="003322C8" w:rsidP="003322C8">
            <w:pPr>
              <w:jc w:val="center"/>
            </w:pPr>
            <w:r>
              <w:t>2022</w:t>
            </w:r>
          </w:p>
        </w:tc>
        <w:tc>
          <w:tcPr>
            <w:tcW w:w="2880" w:type="dxa"/>
          </w:tcPr>
          <w:p w14:paraId="5081B856" w14:textId="0ECC00D4" w:rsidR="00FA6078" w:rsidRPr="0071116B" w:rsidRDefault="003322C8" w:rsidP="003322C8">
            <w:pPr>
              <w:jc w:val="center"/>
            </w:pPr>
            <w:r>
              <w:t>2023</w:t>
            </w:r>
          </w:p>
        </w:tc>
      </w:tr>
      <w:tr w:rsidR="00FA6078" w:rsidRPr="0071116B" w14:paraId="4B7ABDA1" w14:textId="77777777" w:rsidTr="005D7A94">
        <w:tc>
          <w:tcPr>
            <w:tcW w:w="3505" w:type="dxa"/>
          </w:tcPr>
          <w:p w14:paraId="0A3160E5" w14:textId="77777777" w:rsidR="00FA6078" w:rsidRPr="0071116B" w:rsidRDefault="00FA6078" w:rsidP="005D7A94">
            <w:r w:rsidRPr="0071116B">
              <w:t>Total shareholders' equity</w:t>
            </w:r>
          </w:p>
        </w:tc>
        <w:tc>
          <w:tcPr>
            <w:tcW w:w="3060" w:type="dxa"/>
          </w:tcPr>
          <w:p w14:paraId="235EF993" w14:textId="4AD2EB8D" w:rsidR="00FA6078" w:rsidRPr="0071116B" w:rsidRDefault="003322C8" w:rsidP="003322C8">
            <w:pPr>
              <w:jc w:val="center"/>
            </w:pPr>
            <w:r w:rsidRPr="003322C8">
              <w:t>$195,165,000</w:t>
            </w:r>
          </w:p>
        </w:tc>
        <w:tc>
          <w:tcPr>
            <w:tcW w:w="2880" w:type="dxa"/>
          </w:tcPr>
          <w:p w14:paraId="0D9941B7" w14:textId="6E9650F9" w:rsidR="00FA6078" w:rsidRPr="0071116B" w:rsidRDefault="003322C8" w:rsidP="003322C8">
            <w:pPr>
              <w:jc w:val="center"/>
            </w:pPr>
            <w:r w:rsidRPr="003322C8">
              <w:t>$290,416,00</w:t>
            </w:r>
            <w:r>
              <w:t>0</w:t>
            </w:r>
          </w:p>
        </w:tc>
      </w:tr>
      <w:tr w:rsidR="00FA6078" w:rsidRPr="0071116B" w14:paraId="6E56B809" w14:textId="77777777" w:rsidTr="005D7A94">
        <w:tc>
          <w:tcPr>
            <w:tcW w:w="3505" w:type="dxa"/>
          </w:tcPr>
          <w:p w14:paraId="3EC9B383" w14:textId="77777777" w:rsidR="00FA6078" w:rsidRPr="0071116B" w:rsidRDefault="00FA6078" w:rsidP="005D7A94">
            <w:r w:rsidRPr="0071116B">
              <w:t>Retained earnings</w:t>
            </w:r>
          </w:p>
        </w:tc>
        <w:tc>
          <w:tcPr>
            <w:tcW w:w="3060" w:type="dxa"/>
          </w:tcPr>
          <w:p w14:paraId="5AF88340" w14:textId="6AF4D157" w:rsidR="00FA6078" w:rsidRPr="0071116B" w:rsidRDefault="003322C8" w:rsidP="003322C8">
            <w:pPr>
              <w:jc w:val="center"/>
            </w:pPr>
            <w:r w:rsidRPr="003322C8">
              <w:t>$83,590,000</w:t>
            </w:r>
          </w:p>
        </w:tc>
        <w:tc>
          <w:tcPr>
            <w:tcW w:w="2880" w:type="dxa"/>
          </w:tcPr>
          <w:p w14:paraId="0AD02637" w14:textId="462E722F" w:rsidR="00FA6078" w:rsidRPr="0071116B" w:rsidRDefault="003322C8" w:rsidP="003322C8">
            <w:pPr>
              <w:jc w:val="center"/>
            </w:pPr>
            <w:r w:rsidRPr="003322C8">
              <w:t>$177,698,000</w:t>
            </w:r>
          </w:p>
        </w:tc>
      </w:tr>
      <w:tr w:rsidR="00FA6078" w:rsidRPr="0071116B" w14:paraId="1B61D0BB" w14:textId="77777777" w:rsidTr="005D7A94">
        <w:tc>
          <w:tcPr>
            <w:tcW w:w="3505" w:type="dxa"/>
          </w:tcPr>
          <w:p w14:paraId="0FDF29FB" w14:textId="77777777" w:rsidR="00FA6078" w:rsidRPr="0071116B" w:rsidRDefault="00FA6078" w:rsidP="005D7A94">
            <w:r w:rsidRPr="0071116B">
              <w:t>Total liabilities and shareholders' equity</w:t>
            </w:r>
          </w:p>
        </w:tc>
        <w:tc>
          <w:tcPr>
            <w:tcW w:w="3060" w:type="dxa"/>
          </w:tcPr>
          <w:p w14:paraId="7F5A4DA2" w14:textId="20D9B2ED" w:rsidR="00FA6078" w:rsidRPr="0071116B" w:rsidRDefault="003322C8" w:rsidP="003322C8">
            <w:pPr>
              <w:jc w:val="center"/>
            </w:pPr>
            <w:r w:rsidRPr="003322C8">
              <w:t>$418,600,000</w:t>
            </w:r>
          </w:p>
        </w:tc>
        <w:tc>
          <w:tcPr>
            <w:tcW w:w="2880" w:type="dxa"/>
          </w:tcPr>
          <w:p w14:paraId="46613CAF" w14:textId="5102F435" w:rsidR="00FA6078" w:rsidRPr="0071116B" w:rsidRDefault="003322C8" w:rsidP="003322C8">
            <w:pPr>
              <w:jc w:val="center"/>
            </w:pPr>
            <w:r w:rsidRPr="003322C8">
              <w:t>$846,909,000</w:t>
            </w:r>
          </w:p>
        </w:tc>
      </w:tr>
      <w:tr w:rsidR="00FA6078" w:rsidRPr="0071116B" w14:paraId="6BCB2687" w14:textId="77777777" w:rsidTr="005D7A94">
        <w:tc>
          <w:tcPr>
            <w:tcW w:w="9445" w:type="dxa"/>
            <w:gridSpan w:val="3"/>
          </w:tcPr>
          <w:p w14:paraId="12915088" w14:textId="47EAC571" w:rsidR="00FA6078" w:rsidRPr="00373F79" w:rsidRDefault="00FA6078" w:rsidP="005D7A94">
            <w:pPr>
              <w:rPr>
                <w:lang w:val="aa-ET"/>
              </w:rPr>
            </w:pPr>
            <w:r w:rsidRPr="0071116B">
              <w:t xml:space="preserve">Source: </w:t>
            </w:r>
            <w:r w:rsidR="00373F79" w:rsidRPr="00373F79">
              <w:rPr>
                <w:lang w:val="aa-ET"/>
              </w:rPr>
              <w:t>2023 Annual Report, GigaCloud Technology Inc.</w:t>
            </w:r>
            <w:r w:rsidR="00026777">
              <w:rPr>
                <w:lang w:val="aa-ET"/>
              </w:rPr>
              <w:t xml:space="preserve"> </w:t>
            </w:r>
            <w:r w:rsidR="00026777">
              <w:rPr>
                <w:lang w:val="aa-ET"/>
              </w:rPr>
              <w:fldChar w:fldCharType="begin"/>
            </w:r>
            <w:r w:rsidR="00026777">
              <w:rPr>
                <w:lang w:val="aa-ET"/>
              </w:rPr>
              <w:instrText xml:space="preserve"> ADDIN EN.CITE &lt;EndNote&gt;&lt;Cite&gt;&lt;Author&gt;GigaCloud Technology&lt;/Author&gt;&lt;Year&gt;2023&lt;/Year&gt;&lt;RecNum&gt;2645&lt;/RecNum&gt;&lt;DisplayText&gt;(GigaCloud Technology, 2023)&lt;/DisplayText&gt;&lt;record&gt;&lt;rec-number&gt;2645&lt;/rec-number&gt;&lt;foreign-keys&gt;&lt;key app="EN" db-id="zxrtwszvnew9f9e9p0vv0wfld5x2wxp9wzp5" timestamp="1737654856"&gt;2645&lt;/key&gt;&lt;/foreign-keys&gt;&lt;ref-type name="Report"&gt;27&lt;/ref-type&gt;&lt;contributors&gt;&lt;authors&gt;&lt;author&gt;GigaCloud Technology,&lt;/author&gt;&lt;/authors&gt;&lt;/contributors&gt;&lt;titles&gt;&lt;title&gt;Giga Cloud Technology Inc. Form 10-K — Annual Report For the Fiscal Year Ended December 31, 2023&lt;/title&gt;&lt;/titles&gt;&lt;dates&gt;&lt;year&gt;2023&lt;/year&gt;&lt;/dates&gt;&lt;urls&gt;&lt;related-urls&gt;&lt;url&gt;https://investors.gigacloudtech.com/static-files/f5ec0a6a-4af6-42c0-9f2e-f9907a29c07f&lt;/url&gt;&lt;/related-urls&gt;&lt;/urls&gt;&lt;/record&gt;&lt;/Cite&gt;&lt;/EndNote&gt;</w:instrText>
            </w:r>
            <w:r w:rsidR="00026777">
              <w:rPr>
                <w:lang w:val="aa-ET"/>
              </w:rPr>
              <w:fldChar w:fldCharType="separate"/>
            </w:r>
            <w:r w:rsidR="00026777">
              <w:rPr>
                <w:noProof/>
                <w:lang w:val="aa-ET"/>
              </w:rPr>
              <w:t>(GigaCloud Technology, 2023)</w:t>
            </w:r>
            <w:r w:rsidR="00026777">
              <w:rPr>
                <w:lang w:val="aa-ET"/>
              </w:rPr>
              <w:fldChar w:fldCharType="end"/>
            </w:r>
          </w:p>
        </w:tc>
      </w:tr>
    </w:tbl>
    <w:p w14:paraId="6B9200ED" w14:textId="77777777" w:rsidR="00FA6078" w:rsidRPr="0071116B" w:rsidRDefault="00FA6078" w:rsidP="00FA6078"/>
    <w:p w14:paraId="113302EB" w14:textId="026BF0EB" w:rsidR="008A0400" w:rsidRPr="008A0400" w:rsidRDefault="008A0400" w:rsidP="005477D7">
      <w:pPr>
        <w:spacing w:line="480" w:lineRule="auto"/>
        <w:ind w:firstLine="720"/>
        <w:jc w:val="both"/>
        <w:rPr>
          <w:lang w:val="aa-ET"/>
        </w:rPr>
      </w:pPr>
      <w:r w:rsidRPr="008A0400">
        <w:rPr>
          <w:lang w:val="aa-ET"/>
        </w:rPr>
        <w:t>Shareholder equity rose from $195.17 million in 2022 to $290.42 million in 2023. The company's net worth and financial stability are calculated by subtracting liabilities from assets</w:t>
      </w:r>
      <w:r w:rsidR="00332782">
        <w:rPr>
          <w:lang w:val="aa-ET"/>
        </w:rPr>
        <w:t xml:space="preserve"> </w:t>
      </w:r>
      <w:r w:rsidR="00332782">
        <w:rPr>
          <w:lang w:val="aa-ET"/>
        </w:rPr>
        <w:fldChar w:fldCharType="begin"/>
      </w:r>
      <w:r w:rsidR="00332782">
        <w:rPr>
          <w:lang w:val="aa-ET"/>
        </w:rPr>
        <w:instrText xml:space="preserve"> ADDIN EN.CITE &lt;EndNote&gt;&lt;Cite&gt;&lt;Author&gt;Accounting Tools&lt;/Author&gt;&lt;Year&gt;2024&lt;/Year&gt;&lt;RecNum&gt;2925&lt;/RecNum&gt;&lt;DisplayText&gt;(Accounting Tools, 2024)&lt;/DisplayText&gt;&lt;record&gt;&lt;rec-number&gt;2925&lt;/rec-number&gt;&lt;foreign-keys&gt;&lt;key app="EN" db-id="zxrtwszvnew9f9e9p0vv0wfld5x2wxp9wzp5" timestamp="1739095308"&gt;2925&lt;/key&gt;&lt;/foreign-keys&gt;&lt;ref-type name="Web Page"&gt;12&lt;/ref-type&gt;&lt;contributors&gt;&lt;authors&gt;&lt;author&gt;Accounting Tools,&lt;/author&gt;&lt;/authors&gt;&lt;/contributors&gt;&lt;titles&gt;&lt;title&gt;Stockholders&amp;apos; equity definition&lt;/title&gt;&lt;/titles&gt;&lt;volume&gt;2025&lt;/volume&gt;&lt;number&gt;9th February&lt;/number&gt;&lt;dates&gt;&lt;year&gt;2024&lt;/year&gt;&lt;/dates&gt;&lt;urls&gt;&lt;related-urls&gt;&lt;url&gt;https://www.accountingtools.com/articles/stockholders-equity&lt;/url&gt;&lt;/related-urls&gt;&lt;/urls&gt;&lt;/record&gt;&lt;/Cite&gt;&lt;/EndNote&gt;</w:instrText>
      </w:r>
      <w:r w:rsidR="00332782">
        <w:rPr>
          <w:lang w:val="aa-ET"/>
        </w:rPr>
        <w:fldChar w:fldCharType="separate"/>
      </w:r>
      <w:r w:rsidR="00332782">
        <w:rPr>
          <w:noProof/>
          <w:lang w:val="aa-ET"/>
        </w:rPr>
        <w:t>(Accounting Tools, 2024)</w:t>
      </w:r>
      <w:r w:rsidR="00332782">
        <w:rPr>
          <w:lang w:val="aa-ET"/>
        </w:rPr>
        <w:fldChar w:fldCharType="end"/>
      </w:r>
      <w:r w:rsidRPr="008A0400">
        <w:rPr>
          <w:lang w:val="aa-ET"/>
        </w:rPr>
        <w:t xml:space="preserve">. The significant increase in shareholders' equity over the past year suggests GigaCloud Technology Inc. has improved its net asset base and created shareholder value. This is due to rising retained earnings. Retained earnings </w:t>
      </w:r>
      <w:r w:rsidR="00ED760E">
        <w:rPr>
          <w:lang w:val="aa-ET"/>
        </w:rPr>
        <w:t>were noticed to be increasing</w:t>
      </w:r>
      <w:r w:rsidRPr="008A0400">
        <w:rPr>
          <w:lang w:val="aa-ET"/>
        </w:rPr>
        <w:t xml:space="preserve"> from $83.59 million in 2022 to $177.70 million in </w:t>
      </w:r>
      <w:r w:rsidR="00ED760E">
        <w:rPr>
          <w:lang w:val="aa-ET"/>
        </w:rPr>
        <w:t>the next year</w:t>
      </w:r>
      <w:r w:rsidRPr="008A0400">
        <w:rPr>
          <w:lang w:val="aa-ET"/>
        </w:rPr>
        <w:t>. Profitability and commitment to growth and innovation are shown by the company's rising retained earnings.</w:t>
      </w:r>
    </w:p>
    <w:p w14:paraId="6D03A67E" w14:textId="023456FF" w:rsidR="008A0400" w:rsidRPr="000C2684" w:rsidRDefault="008A0400" w:rsidP="008B5945">
      <w:pPr>
        <w:spacing w:line="480" w:lineRule="auto"/>
        <w:ind w:firstLine="720"/>
        <w:jc w:val="both"/>
        <w:rPr>
          <w:lang w:val="aa-ET"/>
        </w:rPr>
      </w:pPr>
      <w:r w:rsidRPr="008A0400">
        <w:rPr>
          <w:lang w:val="aa-ET"/>
        </w:rPr>
        <w:t>With earnings reinvestment, long-term financial strategy funds operational improvements, R&amp;D, and capital investments. Retained earnings boost equity, cushioning future losses and enabling internal growth financing</w:t>
      </w:r>
      <w:r w:rsidR="00332782">
        <w:rPr>
          <w:lang w:val="aa-ET"/>
        </w:rPr>
        <w:t xml:space="preserve"> </w:t>
      </w:r>
      <w:r w:rsidR="00332782">
        <w:rPr>
          <w:lang w:val="aa-ET"/>
        </w:rPr>
        <w:fldChar w:fldCharType="begin"/>
      </w:r>
      <w:r w:rsidR="00332782">
        <w:rPr>
          <w:lang w:val="aa-ET"/>
        </w:rPr>
        <w:instrText xml:space="preserve"> ADDIN EN.CITE &lt;EndNote&gt;&lt;Cite&gt;&lt;Author&gt;Oh&lt;/Author&gt;&lt;Year&gt;2024&lt;/Year&gt;&lt;RecNum&gt;2926&lt;/RecNum&gt;&lt;DisplayText&gt;(Oh, 2024)&lt;/DisplayText&gt;&lt;record&gt;&lt;rec-number&gt;2926&lt;/rec-number&gt;&lt;foreign-keys&gt;&lt;key app="EN" db-id="zxrtwszvnew9f9e9p0vv0wfld5x2wxp9wzp5" timestamp="1739095402"&gt;2926&lt;/key&gt;&lt;/foreign-keys&gt;&lt;ref-type name="Web Page"&gt;12&lt;/ref-type&gt;&lt;contributors&gt;&lt;authors&gt;&lt;author&gt;Aaron Oh&lt;/author&gt;&lt;/authors&gt;&lt;/contributors&gt;&lt;titles&gt;&lt;title&gt;Retained Earnings in Accounting and What They Can Tell You&lt;/title&gt;&lt;/titles&gt;&lt;volume&gt;2025&lt;/volume&gt;&lt;number&gt;9th February&lt;/number&gt;&lt;dates&gt;&lt;year&gt;2024&lt;/year&gt;&lt;/dates&gt;&lt;urls&gt;&lt;related-urls&gt;&lt;url&gt;https://aspireapp.com/blog/what-do-retained-earnings-mean-in-accounting&lt;/url&gt;&lt;/related-urls&gt;&lt;/urls&gt;&lt;/record&gt;&lt;/Cite&gt;&lt;/EndNote&gt;</w:instrText>
      </w:r>
      <w:r w:rsidR="00332782">
        <w:rPr>
          <w:lang w:val="aa-ET"/>
        </w:rPr>
        <w:fldChar w:fldCharType="separate"/>
      </w:r>
      <w:r w:rsidR="00332782">
        <w:rPr>
          <w:noProof/>
          <w:lang w:val="aa-ET"/>
        </w:rPr>
        <w:t>(Oh, 2024)</w:t>
      </w:r>
      <w:r w:rsidR="00332782">
        <w:rPr>
          <w:lang w:val="aa-ET"/>
        </w:rPr>
        <w:fldChar w:fldCharType="end"/>
      </w:r>
      <w:r w:rsidRPr="008A0400">
        <w:rPr>
          <w:lang w:val="aa-ET"/>
        </w:rPr>
        <w:t xml:space="preserve">. </w:t>
      </w:r>
      <w:r w:rsidR="000C2684" w:rsidRPr="000C2684">
        <w:rPr>
          <w:lang w:val="aa-ET"/>
        </w:rPr>
        <w:t>From $418.60 million in 2022 to $846.91 million in 2023, retained earnings, liabilities, and shareholders' equity nearly doubled</w:t>
      </w:r>
      <w:r w:rsidRPr="008A0400">
        <w:rPr>
          <w:lang w:val="aa-ET"/>
        </w:rPr>
        <w:t>. Total liabilities increased from $223.44 million to $556.49 million, driving growth. Company debts include short-</w:t>
      </w:r>
      <w:r w:rsidRPr="008A0400">
        <w:rPr>
          <w:lang w:val="aa-ET"/>
        </w:rPr>
        <w:lastRenderedPageBreak/>
        <w:t>term ones due within a year and long-term ones for major investments. Without proper management, increasing liabilities reduce shareholder net assets and increase financial risk.</w:t>
      </w:r>
    </w:p>
    <w:p w14:paraId="401727A9" w14:textId="436A5CC2" w:rsidR="008A0400" w:rsidRPr="008A0400" w:rsidRDefault="008A0400" w:rsidP="008B5945">
      <w:pPr>
        <w:spacing w:line="480" w:lineRule="auto"/>
        <w:ind w:firstLine="720"/>
        <w:jc w:val="both"/>
        <w:rPr>
          <w:lang w:val="aa-ET"/>
        </w:rPr>
      </w:pPr>
      <w:r w:rsidRPr="008A0400">
        <w:rPr>
          <w:lang w:val="aa-ET"/>
        </w:rPr>
        <w:t>GigaCloud Technology Inc.'s financial strategy hinges on retained earnings and liabilities. Strong operational performance and profit reinvestment boost retained earnings growth and future earnings. Rising liabilities indicate a greater reliance on external financing to support growth, which can be beneficial if investments yield high returns but increase financial risk if economic conditions worsen. Due to leverage, higher liabilities require careful debt management to maintain the company's interest obligations and financial health. This balance between debt financing and reinvested earnings lets us grow while protecting shareholder value</w:t>
      </w:r>
      <w:r>
        <w:rPr>
          <w:lang w:val="aa-ET"/>
        </w:rPr>
        <w:t>.</w:t>
      </w:r>
    </w:p>
    <w:p w14:paraId="2C19BB32" w14:textId="124A3276" w:rsidR="00FA6078" w:rsidRPr="00373F79" w:rsidRDefault="008A0400" w:rsidP="008B5945">
      <w:pPr>
        <w:spacing w:line="480" w:lineRule="auto"/>
        <w:ind w:firstLine="720"/>
        <w:jc w:val="both"/>
        <w:rPr>
          <w:lang w:val="aa-ET"/>
        </w:rPr>
      </w:pPr>
      <w:r w:rsidRPr="008A0400">
        <w:rPr>
          <w:lang w:val="aa-ET"/>
        </w:rPr>
        <w:t>A balance sheet change shows GigaCloud Technology Inc.'s rapid growth. Rising liabilities indicate strategic debt expansion, while rising shareholders' equity and retained earnings indicate profit generation and reinvestment</w:t>
      </w:r>
      <w:r w:rsidR="00EF06BE">
        <w:rPr>
          <w:lang w:val="aa-ET"/>
        </w:rPr>
        <w:t xml:space="preserve"> </w:t>
      </w:r>
      <w:r w:rsidR="00EF06BE">
        <w:rPr>
          <w:lang w:val="aa-ET"/>
        </w:rPr>
        <w:fldChar w:fldCharType="begin"/>
      </w:r>
      <w:r w:rsidR="00EF06BE">
        <w:rPr>
          <w:lang w:val="aa-ET"/>
        </w:rPr>
        <w:instrText xml:space="preserve"> ADDIN EN.CITE &lt;EndNote&gt;&lt;Cite&gt;&lt;Author&gt;Guo&lt;/Author&gt;&lt;Year&gt;2024&lt;/Year&gt;&lt;RecNum&gt;2927&lt;/RecNum&gt;&lt;DisplayText&gt;(Guo, 2024)&lt;/DisplayText&gt;&lt;record&gt;&lt;rec-number&gt;2927&lt;/rec-number&gt;&lt;foreign-keys&gt;&lt;key app="EN" db-id="zxrtwszvnew9f9e9p0vv0wfld5x2wxp9wzp5" timestamp="1739107665"&gt;2927&lt;/key&gt;&lt;/foreign-keys&gt;&lt;ref-type name="Journal Article"&gt;17&lt;/ref-type&gt;&lt;contributors&gt;&lt;authors&gt;&lt;author&gt;Guo, Jiasheng&lt;/author&gt;&lt;/authors&gt;&lt;/contributors&gt;&lt;titles&gt;&lt;title&gt;Corporate investment, capital structure and (reversed) debt overhang: a comparative analysis of Chinese, US, and global markets&lt;/title&gt;&lt;/titles&gt;&lt;dates&gt;&lt;year&gt;2024&lt;/year&gt;&lt;/dates&gt;&lt;urls&gt;&lt;/urls&gt;&lt;/record&gt;&lt;/Cite&gt;&lt;/EndNote&gt;</w:instrText>
      </w:r>
      <w:r w:rsidR="00EF06BE">
        <w:rPr>
          <w:lang w:val="aa-ET"/>
        </w:rPr>
        <w:fldChar w:fldCharType="separate"/>
      </w:r>
      <w:r w:rsidR="00EF06BE">
        <w:rPr>
          <w:noProof/>
          <w:lang w:val="aa-ET"/>
        </w:rPr>
        <w:t>(Guo, 2024)</w:t>
      </w:r>
      <w:r w:rsidR="00EF06BE">
        <w:rPr>
          <w:lang w:val="aa-ET"/>
        </w:rPr>
        <w:fldChar w:fldCharType="end"/>
      </w:r>
      <w:r w:rsidRPr="008A0400">
        <w:rPr>
          <w:lang w:val="aa-ET"/>
        </w:rPr>
        <w:t>. This balance must be managed well for long-term financial stability and growth without increasing vulnerability.</w:t>
      </w:r>
    </w:p>
    <w:p w14:paraId="722F3C36" w14:textId="77777777" w:rsidR="00FA6078" w:rsidRPr="0071116B" w:rsidRDefault="00FA6078" w:rsidP="00FA6078">
      <w:pPr>
        <w:spacing w:line="480" w:lineRule="auto"/>
        <w:jc w:val="center"/>
        <w:rPr>
          <w:b/>
          <w:bCs/>
        </w:rPr>
      </w:pPr>
      <w:r w:rsidRPr="0071116B">
        <w:rPr>
          <w:b/>
          <w:bCs/>
        </w:rPr>
        <w:t>Real-Time Stock Information</w:t>
      </w:r>
    </w:p>
    <w:tbl>
      <w:tblPr>
        <w:tblStyle w:val="TableGrid"/>
        <w:tblW w:w="0" w:type="auto"/>
        <w:tblLook w:val="04A0" w:firstRow="1" w:lastRow="0" w:firstColumn="1" w:lastColumn="0" w:noHBand="0" w:noVBand="1"/>
      </w:tblPr>
      <w:tblGrid>
        <w:gridCol w:w="4135"/>
        <w:gridCol w:w="2070"/>
      </w:tblGrid>
      <w:tr w:rsidR="00FA6078" w:rsidRPr="0071116B" w14:paraId="5B82798D" w14:textId="77777777" w:rsidTr="005D7A94">
        <w:tc>
          <w:tcPr>
            <w:tcW w:w="6205" w:type="dxa"/>
            <w:gridSpan w:val="2"/>
          </w:tcPr>
          <w:p w14:paraId="1925D5A9" w14:textId="616DB167" w:rsidR="00FA6078" w:rsidRPr="0071116B" w:rsidRDefault="00373F79" w:rsidP="005D7A94">
            <w:pPr>
              <w:rPr>
                <w:b/>
                <w:bCs/>
              </w:rPr>
            </w:pPr>
            <w:proofErr w:type="spellStart"/>
            <w:r w:rsidRPr="00373F79">
              <w:rPr>
                <w:b/>
                <w:bCs/>
              </w:rPr>
              <w:t>GigaCloud</w:t>
            </w:r>
            <w:proofErr w:type="spellEnd"/>
            <w:r w:rsidRPr="00373F79">
              <w:rPr>
                <w:b/>
                <w:bCs/>
              </w:rPr>
              <w:t xml:space="preserve"> Technology Inc.</w:t>
            </w:r>
          </w:p>
        </w:tc>
      </w:tr>
      <w:tr w:rsidR="00FA6078" w:rsidRPr="0071116B" w14:paraId="1C066AD0" w14:textId="77777777" w:rsidTr="005D7A94">
        <w:tc>
          <w:tcPr>
            <w:tcW w:w="4135" w:type="dxa"/>
          </w:tcPr>
          <w:p w14:paraId="377E092A" w14:textId="77777777" w:rsidR="00FA6078" w:rsidRPr="0071116B" w:rsidRDefault="00FA6078" w:rsidP="005D7A94">
            <w:r w:rsidRPr="0071116B">
              <w:rPr>
                <w:color w:val="000000" w:themeColor="text1"/>
              </w:rPr>
              <w:t>PE Ratio (TTM)</w:t>
            </w:r>
          </w:p>
        </w:tc>
        <w:tc>
          <w:tcPr>
            <w:tcW w:w="2070" w:type="dxa"/>
          </w:tcPr>
          <w:p w14:paraId="79325C28" w14:textId="36719216" w:rsidR="00FA6078" w:rsidRPr="0071116B" w:rsidRDefault="00373F79" w:rsidP="005D7A94">
            <w:r w:rsidRPr="00373F79">
              <w:t>6.28</w:t>
            </w:r>
          </w:p>
        </w:tc>
      </w:tr>
      <w:tr w:rsidR="00FA6078" w:rsidRPr="0071116B" w14:paraId="31F0817A" w14:textId="77777777" w:rsidTr="005D7A94">
        <w:tc>
          <w:tcPr>
            <w:tcW w:w="4135" w:type="dxa"/>
          </w:tcPr>
          <w:p w14:paraId="3D3C5FD7" w14:textId="77777777" w:rsidR="00FA6078" w:rsidRPr="0071116B" w:rsidRDefault="00FA6078" w:rsidP="005D7A94">
            <w:r w:rsidRPr="0071116B">
              <w:rPr>
                <w:color w:val="000000" w:themeColor="text1"/>
              </w:rPr>
              <w:t xml:space="preserve">EPS (TTM) </w:t>
            </w:r>
          </w:p>
        </w:tc>
        <w:tc>
          <w:tcPr>
            <w:tcW w:w="2070" w:type="dxa"/>
          </w:tcPr>
          <w:p w14:paraId="50359060" w14:textId="7F5D470E" w:rsidR="00FA6078" w:rsidRPr="0071116B" w:rsidRDefault="00373F79" w:rsidP="005D7A94">
            <w:r w:rsidRPr="00373F79">
              <w:t>3.15</w:t>
            </w:r>
          </w:p>
        </w:tc>
      </w:tr>
      <w:tr w:rsidR="00FA6078" w:rsidRPr="0071116B" w14:paraId="5DECF4D5" w14:textId="77777777" w:rsidTr="005D7A94">
        <w:tc>
          <w:tcPr>
            <w:tcW w:w="4135" w:type="dxa"/>
          </w:tcPr>
          <w:p w14:paraId="72A3ED8C" w14:textId="77777777" w:rsidR="00FA6078" w:rsidRPr="0071116B" w:rsidRDefault="00FA6078" w:rsidP="005D7A94">
            <w:r w:rsidRPr="0071116B">
              <w:rPr>
                <w:color w:val="000000" w:themeColor="text1"/>
              </w:rPr>
              <w:t>Forward Dividend &amp; Yield</w:t>
            </w:r>
          </w:p>
        </w:tc>
        <w:tc>
          <w:tcPr>
            <w:tcW w:w="2070" w:type="dxa"/>
          </w:tcPr>
          <w:p w14:paraId="15DD17F6" w14:textId="0EFA6AAB" w:rsidR="00FA6078" w:rsidRPr="0071116B" w:rsidRDefault="003A2DBE" w:rsidP="005D7A94">
            <w:r>
              <w:t>N/A</w:t>
            </w:r>
          </w:p>
        </w:tc>
      </w:tr>
      <w:tr w:rsidR="00FA6078" w:rsidRPr="0071116B" w14:paraId="5E21D458" w14:textId="77777777" w:rsidTr="005D7A94">
        <w:tc>
          <w:tcPr>
            <w:tcW w:w="6205" w:type="dxa"/>
            <w:gridSpan w:val="2"/>
          </w:tcPr>
          <w:p w14:paraId="66797F9F" w14:textId="77777777" w:rsidR="00FA6078" w:rsidRPr="0071116B" w:rsidRDefault="00FA6078" w:rsidP="005D7A94">
            <w:pPr>
              <w:rPr>
                <w:b/>
                <w:bCs/>
              </w:rPr>
            </w:pPr>
            <w:r w:rsidRPr="0071116B">
              <w:rPr>
                <w:b/>
                <w:bCs/>
                <w:color w:val="000000" w:themeColor="text1"/>
              </w:rPr>
              <w:t>Profitability</w:t>
            </w:r>
          </w:p>
        </w:tc>
      </w:tr>
      <w:tr w:rsidR="00FA6078" w:rsidRPr="0071116B" w14:paraId="63A448BF" w14:textId="77777777" w:rsidTr="005D7A94">
        <w:tc>
          <w:tcPr>
            <w:tcW w:w="4135" w:type="dxa"/>
          </w:tcPr>
          <w:p w14:paraId="52DC2F26" w14:textId="77777777" w:rsidR="00FA6078" w:rsidRPr="0071116B" w:rsidRDefault="00FA6078" w:rsidP="005D7A94">
            <w:r w:rsidRPr="0071116B">
              <w:rPr>
                <w:color w:val="000000" w:themeColor="text1"/>
              </w:rPr>
              <w:t xml:space="preserve">Profit Margin </w:t>
            </w:r>
          </w:p>
        </w:tc>
        <w:tc>
          <w:tcPr>
            <w:tcW w:w="2070" w:type="dxa"/>
          </w:tcPr>
          <w:p w14:paraId="6409B652" w14:textId="2427117C" w:rsidR="00FA6078" w:rsidRPr="0071116B" w:rsidRDefault="00373F79" w:rsidP="005D7A94">
            <w:r w:rsidRPr="00373F79">
              <w:t>11.75%</w:t>
            </w:r>
          </w:p>
        </w:tc>
      </w:tr>
      <w:tr w:rsidR="00FA6078" w:rsidRPr="0071116B" w14:paraId="78AD0F01" w14:textId="77777777" w:rsidTr="005D7A94">
        <w:tc>
          <w:tcPr>
            <w:tcW w:w="4135" w:type="dxa"/>
          </w:tcPr>
          <w:p w14:paraId="3087A2E0" w14:textId="77777777" w:rsidR="00FA6078" w:rsidRPr="0071116B" w:rsidRDefault="00FA6078" w:rsidP="005D7A94">
            <w:r w:rsidRPr="0071116B">
              <w:rPr>
                <w:color w:val="000000" w:themeColor="text1"/>
              </w:rPr>
              <w:t>Operating Margin (</w:t>
            </w:r>
            <w:proofErr w:type="spellStart"/>
            <w:r w:rsidRPr="0071116B">
              <w:rPr>
                <w:color w:val="000000" w:themeColor="text1"/>
              </w:rPr>
              <w:t>ttm</w:t>
            </w:r>
            <w:proofErr w:type="spellEnd"/>
            <w:r w:rsidRPr="0071116B">
              <w:rPr>
                <w:color w:val="000000" w:themeColor="text1"/>
              </w:rPr>
              <w:t>)</w:t>
            </w:r>
          </w:p>
        </w:tc>
        <w:tc>
          <w:tcPr>
            <w:tcW w:w="2070" w:type="dxa"/>
          </w:tcPr>
          <w:p w14:paraId="5E803CE5" w14:textId="694A038D" w:rsidR="00FA6078" w:rsidRPr="0071116B" w:rsidRDefault="003A2DBE" w:rsidP="005D7A94">
            <w:r w:rsidRPr="003A2DBE">
              <w:t>13.44%</w:t>
            </w:r>
          </w:p>
        </w:tc>
      </w:tr>
      <w:tr w:rsidR="00FA6078" w:rsidRPr="0071116B" w14:paraId="16FFC752" w14:textId="77777777" w:rsidTr="005D7A94">
        <w:tc>
          <w:tcPr>
            <w:tcW w:w="6205" w:type="dxa"/>
            <w:gridSpan w:val="2"/>
          </w:tcPr>
          <w:p w14:paraId="22259632" w14:textId="77777777" w:rsidR="00FA6078" w:rsidRPr="0071116B" w:rsidRDefault="00FA6078" w:rsidP="005D7A94">
            <w:pPr>
              <w:rPr>
                <w:b/>
                <w:bCs/>
              </w:rPr>
            </w:pPr>
            <w:r w:rsidRPr="0071116B">
              <w:rPr>
                <w:b/>
                <w:bCs/>
                <w:color w:val="000000" w:themeColor="text1"/>
              </w:rPr>
              <w:t>Management Effectiveness</w:t>
            </w:r>
          </w:p>
        </w:tc>
      </w:tr>
      <w:tr w:rsidR="00FA6078" w:rsidRPr="0071116B" w14:paraId="10C2C9F5" w14:textId="77777777" w:rsidTr="005D7A94">
        <w:tc>
          <w:tcPr>
            <w:tcW w:w="4135" w:type="dxa"/>
          </w:tcPr>
          <w:p w14:paraId="6D8E4F61" w14:textId="77777777" w:rsidR="00FA6078" w:rsidRPr="0071116B" w:rsidRDefault="00FA6078" w:rsidP="005D7A94">
            <w:r w:rsidRPr="0071116B">
              <w:rPr>
                <w:color w:val="000000" w:themeColor="text1"/>
              </w:rPr>
              <w:t>Return on Assets (</w:t>
            </w:r>
            <w:proofErr w:type="spellStart"/>
            <w:r w:rsidRPr="0071116B">
              <w:rPr>
                <w:color w:val="000000" w:themeColor="text1"/>
              </w:rPr>
              <w:t>ttm</w:t>
            </w:r>
            <w:proofErr w:type="spellEnd"/>
            <w:r w:rsidRPr="0071116B">
              <w:rPr>
                <w:color w:val="000000" w:themeColor="text1"/>
              </w:rPr>
              <w:t>)</w:t>
            </w:r>
          </w:p>
        </w:tc>
        <w:tc>
          <w:tcPr>
            <w:tcW w:w="2070" w:type="dxa"/>
          </w:tcPr>
          <w:p w14:paraId="07883E18" w14:textId="593F41F2" w:rsidR="00FA6078" w:rsidRPr="0071116B" w:rsidRDefault="00373F79" w:rsidP="005D7A94">
            <w:r w:rsidRPr="00373F79">
              <w:t>11.19%</w:t>
            </w:r>
          </w:p>
        </w:tc>
      </w:tr>
      <w:tr w:rsidR="00FA6078" w:rsidRPr="0071116B" w14:paraId="0A9DF047" w14:textId="77777777" w:rsidTr="005D7A94">
        <w:tc>
          <w:tcPr>
            <w:tcW w:w="4135" w:type="dxa"/>
          </w:tcPr>
          <w:p w14:paraId="1BCA6810" w14:textId="77777777" w:rsidR="00FA6078" w:rsidRPr="0071116B" w:rsidRDefault="00FA6078" w:rsidP="005D7A94">
            <w:r w:rsidRPr="0071116B">
              <w:rPr>
                <w:color w:val="000000" w:themeColor="text1"/>
              </w:rPr>
              <w:t>Return on Equity (</w:t>
            </w:r>
            <w:proofErr w:type="spellStart"/>
            <w:r w:rsidRPr="0071116B">
              <w:rPr>
                <w:color w:val="000000" w:themeColor="text1"/>
              </w:rPr>
              <w:t>ttm</w:t>
            </w:r>
            <w:proofErr w:type="spellEnd"/>
            <w:r w:rsidRPr="0071116B">
              <w:rPr>
                <w:color w:val="000000" w:themeColor="text1"/>
              </w:rPr>
              <w:t>)</w:t>
            </w:r>
          </w:p>
        </w:tc>
        <w:tc>
          <w:tcPr>
            <w:tcW w:w="2070" w:type="dxa"/>
          </w:tcPr>
          <w:p w14:paraId="3F070029" w14:textId="0781A859" w:rsidR="00FA6078" w:rsidRPr="0071116B" w:rsidRDefault="00373F79" w:rsidP="005D7A94">
            <w:r w:rsidRPr="00373F79">
              <w:t>39.85%</w:t>
            </w:r>
          </w:p>
        </w:tc>
      </w:tr>
      <w:tr w:rsidR="00FA6078" w:rsidRPr="0071116B" w14:paraId="68208595" w14:textId="77777777" w:rsidTr="005D7A94">
        <w:tc>
          <w:tcPr>
            <w:tcW w:w="6205" w:type="dxa"/>
            <w:gridSpan w:val="2"/>
          </w:tcPr>
          <w:p w14:paraId="68177CED" w14:textId="77777777" w:rsidR="00FA6078" w:rsidRPr="0071116B" w:rsidRDefault="00FA6078" w:rsidP="005D7A94">
            <w:pPr>
              <w:rPr>
                <w:b/>
                <w:bCs/>
              </w:rPr>
            </w:pPr>
            <w:r w:rsidRPr="0071116B">
              <w:rPr>
                <w:b/>
                <w:bCs/>
                <w:color w:val="000000" w:themeColor="text1"/>
              </w:rPr>
              <w:t>Income Statement</w:t>
            </w:r>
          </w:p>
        </w:tc>
      </w:tr>
      <w:tr w:rsidR="00FA6078" w:rsidRPr="0071116B" w14:paraId="0362681D" w14:textId="77777777" w:rsidTr="005D7A94">
        <w:tc>
          <w:tcPr>
            <w:tcW w:w="4135" w:type="dxa"/>
          </w:tcPr>
          <w:p w14:paraId="42B19E23" w14:textId="77777777" w:rsidR="00FA6078" w:rsidRPr="0071116B" w:rsidRDefault="00FA6078" w:rsidP="005D7A94">
            <w:r w:rsidRPr="0071116B">
              <w:t>Quarterly Revenue Growth (</w:t>
            </w:r>
            <w:proofErr w:type="spellStart"/>
            <w:r w:rsidRPr="0071116B">
              <w:t>yoy</w:t>
            </w:r>
            <w:proofErr w:type="spellEnd"/>
            <w:r w:rsidRPr="0071116B">
              <w:t>)</w:t>
            </w:r>
          </w:p>
        </w:tc>
        <w:tc>
          <w:tcPr>
            <w:tcW w:w="2070" w:type="dxa"/>
          </w:tcPr>
          <w:p w14:paraId="330C8BF8" w14:textId="165F36F8" w:rsidR="00FA6078" w:rsidRPr="003A2DBE" w:rsidRDefault="003A2DBE" w:rsidP="005D7A94">
            <w:r w:rsidRPr="003A2DBE">
              <w:t>70.20%</w:t>
            </w:r>
          </w:p>
        </w:tc>
      </w:tr>
      <w:tr w:rsidR="00FA6078" w:rsidRPr="0071116B" w14:paraId="5FA959C0" w14:textId="77777777" w:rsidTr="005D7A94">
        <w:tc>
          <w:tcPr>
            <w:tcW w:w="4135" w:type="dxa"/>
          </w:tcPr>
          <w:p w14:paraId="7140CACB" w14:textId="77777777" w:rsidR="00FA6078" w:rsidRPr="0071116B" w:rsidRDefault="00FA6078" w:rsidP="005D7A94">
            <w:r w:rsidRPr="0071116B">
              <w:rPr>
                <w:color w:val="000000" w:themeColor="text1"/>
              </w:rPr>
              <w:t>Quarterly Earnings Growth (</w:t>
            </w:r>
            <w:proofErr w:type="spellStart"/>
            <w:r w:rsidRPr="0071116B">
              <w:rPr>
                <w:color w:val="000000" w:themeColor="text1"/>
              </w:rPr>
              <w:t>yoy</w:t>
            </w:r>
            <w:proofErr w:type="spellEnd"/>
            <w:r w:rsidRPr="0071116B">
              <w:rPr>
                <w:color w:val="000000" w:themeColor="text1"/>
              </w:rPr>
              <w:t>)</w:t>
            </w:r>
          </w:p>
        </w:tc>
        <w:tc>
          <w:tcPr>
            <w:tcW w:w="2070" w:type="dxa"/>
          </w:tcPr>
          <w:p w14:paraId="5DB0B8AB" w14:textId="6F5490D0" w:rsidR="00FA6078" w:rsidRPr="003A2DBE" w:rsidRDefault="003A2DBE" w:rsidP="005D7A94">
            <w:r w:rsidRPr="003A2DBE">
              <w:t>68.10%</w:t>
            </w:r>
          </w:p>
        </w:tc>
      </w:tr>
      <w:tr w:rsidR="00FA6078" w:rsidRPr="0071116B" w14:paraId="69469A91" w14:textId="77777777" w:rsidTr="005D7A94">
        <w:tc>
          <w:tcPr>
            <w:tcW w:w="4135" w:type="dxa"/>
          </w:tcPr>
          <w:p w14:paraId="7EE50E96" w14:textId="77777777" w:rsidR="00FA6078" w:rsidRPr="0071116B" w:rsidRDefault="00FA6078" w:rsidP="005D7A94">
            <w:r w:rsidRPr="0071116B">
              <w:t>EBITDA</w:t>
            </w:r>
          </w:p>
        </w:tc>
        <w:tc>
          <w:tcPr>
            <w:tcW w:w="2070" w:type="dxa"/>
          </w:tcPr>
          <w:p w14:paraId="346D89A7" w14:textId="17C2B3E9" w:rsidR="00FA6078" w:rsidRPr="0071116B" w:rsidRDefault="00373F79" w:rsidP="005D7A94">
            <w:r w:rsidRPr="00373F79">
              <w:t>6.56</w:t>
            </w:r>
          </w:p>
        </w:tc>
      </w:tr>
      <w:tr w:rsidR="00FA6078" w:rsidRPr="0071116B" w14:paraId="485315E8" w14:textId="77777777" w:rsidTr="005D7A94">
        <w:tc>
          <w:tcPr>
            <w:tcW w:w="6205" w:type="dxa"/>
            <w:gridSpan w:val="2"/>
          </w:tcPr>
          <w:p w14:paraId="54A490C7" w14:textId="77777777" w:rsidR="00FA6078" w:rsidRPr="0071116B" w:rsidRDefault="00FA6078" w:rsidP="005D7A94">
            <w:pPr>
              <w:rPr>
                <w:b/>
                <w:bCs/>
              </w:rPr>
            </w:pPr>
            <w:r w:rsidRPr="0071116B">
              <w:rPr>
                <w:b/>
                <w:bCs/>
              </w:rPr>
              <w:t xml:space="preserve">Balance Sheet </w:t>
            </w:r>
          </w:p>
        </w:tc>
      </w:tr>
      <w:tr w:rsidR="00FA6078" w:rsidRPr="0071116B" w14:paraId="6B587E03" w14:textId="77777777" w:rsidTr="005D7A94">
        <w:tc>
          <w:tcPr>
            <w:tcW w:w="4135" w:type="dxa"/>
          </w:tcPr>
          <w:p w14:paraId="367C4989" w14:textId="77777777" w:rsidR="00FA6078" w:rsidRPr="0071116B" w:rsidRDefault="00FA6078" w:rsidP="005D7A94">
            <w:r w:rsidRPr="0071116B">
              <w:t>Total Debt/Equity (</w:t>
            </w:r>
            <w:proofErr w:type="spellStart"/>
            <w:r w:rsidRPr="0071116B">
              <w:t>mrq</w:t>
            </w:r>
            <w:proofErr w:type="spellEnd"/>
            <w:r w:rsidRPr="0071116B">
              <w:t>)</w:t>
            </w:r>
          </w:p>
        </w:tc>
        <w:tc>
          <w:tcPr>
            <w:tcW w:w="2070" w:type="dxa"/>
          </w:tcPr>
          <w:p w14:paraId="591DE7F5" w14:textId="290D7A07" w:rsidR="00FA6078" w:rsidRPr="0071116B" w:rsidRDefault="00373F79" w:rsidP="005D7A94">
            <w:r w:rsidRPr="00373F79">
              <w:t>125.99%</w:t>
            </w:r>
          </w:p>
        </w:tc>
      </w:tr>
      <w:tr w:rsidR="00FA6078" w:rsidRPr="0071116B" w14:paraId="22585C92" w14:textId="77777777" w:rsidTr="005D7A94">
        <w:tc>
          <w:tcPr>
            <w:tcW w:w="4135" w:type="dxa"/>
          </w:tcPr>
          <w:p w14:paraId="3CE73B64" w14:textId="77777777" w:rsidR="00FA6078" w:rsidRPr="0071116B" w:rsidRDefault="00FA6078" w:rsidP="005D7A94">
            <w:r w:rsidRPr="0071116B">
              <w:t>Current Ratio (</w:t>
            </w:r>
            <w:proofErr w:type="spellStart"/>
            <w:r w:rsidRPr="0071116B">
              <w:t>mrq</w:t>
            </w:r>
            <w:proofErr w:type="spellEnd"/>
            <w:r w:rsidRPr="0071116B">
              <w:t>)</w:t>
            </w:r>
          </w:p>
        </w:tc>
        <w:tc>
          <w:tcPr>
            <w:tcW w:w="2070" w:type="dxa"/>
          </w:tcPr>
          <w:p w14:paraId="0DDE4060" w14:textId="170117EF" w:rsidR="00FA6078" w:rsidRPr="0071116B" w:rsidRDefault="003A2DBE" w:rsidP="005D7A94">
            <w:r>
              <w:t>2.13</w:t>
            </w:r>
          </w:p>
        </w:tc>
      </w:tr>
      <w:tr w:rsidR="00FA6078" w:rsidRPr="0071116B" w14:paraId="7B493C2F" w14:textId="77777777" w:rsidTr="005D7A94">
        <w:tc>
          <w:tcPr>
            <w:tcW w:w="4135" w:type="dxa"/>
          </w:tcPr>
          <w:p w14:paraId="32E421A2" w14:textId="77777777" w:rsidR="00FA6078" w:rsidRPr="0071116B" w:rsidRDefault="00FA6078" w:rsidP="005D7A94">
            <w:r w:rsidRPr="0071116B">
              <w:t>Book Value Per Share (</w:t>
            </w:r>
            <w:proofErr w:type="spellStart"/>
            <w:r w:rsidRPr="0071116B">
              <w:t>mrq</w:t>
            </w:r>
            <w:proofErr w:type="spellEnd"/>
            <w:r w:rsidRPr="0071116B">
              <w:t>)</w:t>
            </w:r>
          </w:p>
        </w:tc>
        <w:tc>
          <w:tcPr>
            <w:tcW w:w="2070" w:type="dxa"/>
          </w:tcPr>
          <w:p w14:paraId="74EB2076" w14:textId="217DE52C" w:rsidR="00FA6078" w:rsidRPr="0071116B" w:rsidRDefault="003A2DBE" w:rsidP="005D7A94">
            <w:r w:rsidRPr="003A2DBE">
              <w:t>9.68</w:t>
            </w:r>
          </w:p>
        </w:tc>
      </w:tr>
      <w:tr w:rsidR="00FA6078" w:rsidRPr="0071116B" w14:paraId="0CE48F82" w14:textId="77777777" w:rsidTr="005D7A94">
        <w:tc>
          <w:tcPr>
            <w:tcW w:w="6205" w:type="dxa"/>
            <w:gridSpan w:val="2"/>
          </w:tcPr>
          <w:p w14:paraId="4396D7E0" w14:textId="4A5CA50F" w:rsidR="00FA6078" w:rsidRPr="00373F79" w:rsidRDefault="00FA6078" w:rsidP="005D7A94">
            <w:pPr>
              <w:rPr>
                <w:lang w:val="aa-ET"/>
              </w:rPr>
            </w:pPr>
            <w:r w:rsidRPr="0071116B">
              <w:lastRenderedPageBreak/>
              <w:t xml:space="preserve">Source: </w:t>
            </w:r>
            <w:r w:rsidR="00373F79" w:rsidRPr="00373F79">
              <w:rPr>
                <w:lang w:val="aa-ET"/>
              </w:rPr>
              <w:t xml:space="preserve">finance.yahoo.com, GigaCloud Technology Inc., Date Accessed: February </w:t>
            </w:r>
            <w:r w:rsidR="00373F79">
              <w:rPr>
                <w:lang w:val="aa-ET"/>
              </w:rPr>
              <w:t>8</w:t>
            </w:r>
            <w:r w:rsidR="00373F79" w:rsidRPr="00373F79">
              <w:rPr>
                <w:lang w:val="aa-ET"/>
              </w:rPr>
              <w:t>, 2025</w:t>
            </w:r>
            <w:r w:rsidR="00EF06BE">
              <w:rPr>
                <w:lang w:val="aa-ET"/>
              </w:rPr>
              <w:t xml:space="preserve"> </w:t>
            </w:r>
            <w:r w:rsidR="002F0897">
              <w:rPr>
                <w:lang w:val="aa-ET"/>
              </w:rPr>
              <w:fldChar w:fldCharType="begin"/>
            </w:r>
            <w:r w:rsidR="002F0897">
              <w:rPr>
                <w:lang w:val="aa-ET"/>
              </w:rPr>
              <w:instrText xml:space="preserve"> ADDIN EN.CITE &lt;EndNote&gt;&lt;Cite&gt;&lt;Author&gt;Finance Yahoo&lt;/Author&gt;&lt;Year&gt;2025&lt;/Year&gt;&lt;RecNum&gt;2928&lt;/RecNum&gt;&lt;DisplayText&gt;(Finance Yahoo, 2025)&lt;/DisplayText&gt;&lt;record&gt;&lt;rec-number&gt;2928&lt;/rec-number&gt;&lt;foreign-keys&gt;&lt;key app="EN" db-id="zxrtwszvnew9f9e9p0vv0wfld5x2wxp9wzp5" timestamp="1739107731"&gt;2928&lt;/key&gt;&lt;/foreign-keys&gt;&lt;ref-type name="Web Page"&gt;12&lt;/ref-type&gt;&lt;contributors&gt;&lt;authors&gt;&lt;author&gt;Finance Yahoo,&lt;/author&gt;&lt;/authors&gt;&lt;/contributors&gt;&lt;titles&gt;&lt;title&gt;GigaCloud Technology Inc. (GCT)&lt;/title&gt;&lt;/titles&gt;&lt;volume&gt;2025&lt;/volume&gt;&lt;number&gt;9th February&lt;/number&gt;&lt;dates&gt;&lt;year&gt;2025&lt;/year&gt;&lt;/dates&gt;&lt;urls&gt;&lt;related-urls&gt;&lt;url&gt;https://finance.yahoo.com/quote/GCT/key-statistics/&lt;/url&gt;&lt;/related-urls&gt;&lt;/urls&gt;&lt;/record&gt;&lt;/Cite&gt;&lt;/EndNote&gt;</w:instrText>
            </w:r>
            <w:r w:rsidR="002F0897">
              <w:rPr>
                <w:lang w:val="aa-ET"/>
              </w:rPr>
              <w:fldChar w:fldCharType="separate"/>
            </w:r>
            <w:r w:rsidR="002F0897">
              <w:rPr>
                <w:noProof/>
                <w:lang w:val="aa-ET"/>
              </w:rPr>
              <w:t>(Finance Yahoo, 2025)</w:t>
            </w:r>
            <w:r w:rsidR="002F0897">
              <w:rPr>
                <w:lang w:val="aa-ET"/>
              </w:rPr>
              <w:fldChar w:fldCharType="end"/>
            </w:r>
          </w:p>
        </w:tc>
      </w:tr>
    </w:tbl>
    <w:p w14:paraId="37622D9E" w14:textId="77777777" w:rsidR="00FA6078" w:rsidRPr="0071116B" w:rsidRDefault="00FA6078" w:rsidP="00FA6078">
      <w:pPr>
        <w:ind w:left="360"/>
      </w:pPr>
    </w:p>
    <w:p w14:paraId="2B46757B" w14:textId="15C9ACCA" w:rsidR="005F2457" w:rsidRPr="005F2457" w:rsidRDefault="005F2457" w:rsidP="008B5945">
      <w:pPr>
        <w:spacing w:line="480" w:lineRule="auto"/>
        <w:ind w:firstLine="720"/>
        <w:jc w:val="both"/>
        <w:rPr>
          <w:lang w:val="aa-ET"/>
        </w:rPr>
      </w:pPr>
      <w:r w:rsidRPr="005F2457">
        <w:rPr>
          <w:lang w:val="aa-ET"/>
        </w:rPr>
        <w:t xml:space="preserve">Real-Time Stock data on GigaCloud Technology Inc. shows financial health and market performance. </w:t>
      </w:r>
      <w:r w:rsidR="000C2684" w:rsidRPr="000C2684">
        <w:rPr>
          <w:lang w:val="aa-ET"/>
        </w:rPr>
        <w:t xml:space="preserve">Important metrics </w:t>
      </w:r>
      <w:r w:rsidR="009A4C04">
        <w:rPr>
          <w:lang w:val="aa-ET"/>
        </w:rPr>
        <w:t>from</w:t>
      </w:r>
      <w:r w:rsidR="000C2684" w:rsidRPr="000C2684">
        <w:rPr>
          <w:lang w:val="aa-ET"/>
        </w:rPr>
        <w:t xml:space="preserve"> TTM P/E Ratio</w:t>
      </w:r>
      <w:r w:rsidR="009A4C04">
        <w:rPr>
          <w:lang w:val="aa-ET"/>
        </w:rPr>
        <w:t xml:space="preserve"> to</w:t>
      </w:r>
      <w:r w:rsidR="000C2684" w:rsidRPr="000C2684">
        <w:rPr>
          <w:lang w:val="aa-ET"/>
        </w:rPr>
        <w:t xml:space="preserve"> EBITDA</w:t>
      </w:r>
      <w:r w:rsidR="009A4C04">
        <w:rPr>
          <w:lang w:val="aa-ET"/>
        </w:rPr>
        <w:t xml:space="preserve"> are included in the above table.</w:t>
      </w:r>
      <w:r w:rsidR="000C2684" w:rsidRPr="000C2684">
        <w:rPr>
          <w:lang w:val="aa-ET"/>
        </w:rPr>
        <w:t xml:space="preserve"> All metrics for valuation, profit, and efficiency are needed by investors. Liquidity and capital structure are shown by Current Ratio, BVP, and MRQ</w:t>
      </w:r>
      <w:r>
        <w:rPr>
          <w:lang w:val="aa-ET"/>
        </w:rPr>
        <w:t xml:space="preserve">. </w:t>
      </w:r>
      <w:r w:rsidRPr="005F2457">
        <w:rPr>
          <w:lang w:val="aa-ET"/>
        </w:rPr>
        <w:t>Current market price per share/trailing 12-month EPS is P/E ratio. GigaCloud Technology Inc. investors pay $6.28 per dollar. An undervalued stock may have a low P/E ratio if earnings are stable or growing</w:t>
      </w:r>
      <w:r w:rsidR="002F0897">
        <w:rPr>
          <w:lang w:val="aa-ET"/>
        </w:rPr>
        <w:t xml:space="preserve"> </w:t>
      </w:r>
      <w:r w:rsidR="002F0897">
        <w:rPr>
          <w:lang w:val="aa-ET"/>
        </w:rPr>
        <w:fldChar w:fldCharType="begin"/>
      </w:r>
      <w:r w:rsidR="002F0897">
        <w:rPr>
          <w:lang w:val="aa-ET"/>
        </w:rPr>
        <w:instrText xml:space="preserve"> ADDIN EN.CITE &lt;EndNote&gt;&lt;Cite&gt;&lt;Author&gt;Sutjipto&lt;/Author&gt;&lt;Year&gt;2020&lt;/Year&gt;&lt;RecNum&gt;2930&lt;/RecNum&gt;&lt;DisplayText&gt;(Sutjipto &amp;amp; Setiawan, 2020)&lt;/DisplayText&gt;&lt;record&gt;&lt;rec-number&gt;2930&lt;/rec-number&gt;&lt;foreign-keys&gt;&lt;key app="EN" db-id="zxrtwszvnew9f9e9p0vv0wfld5x2wxp9wzp5" timestamp="1739107923"&gt;2930&lt;/key&gt;&lt;/foreign-keys&gt;&lt;ref-type name="Conference Proceedings"&gt;10&lt;/ref-type&gt;&lt;contributors&gt;&lt;authors&gt;&lt;author&gt;Sutjipto, Eddy&lt;/author&gt;&lt;author&gt;Setiawan, Wawan&lt;/author&gt;&lt;/authors&gt;&lt;/contributors&gt;&lt;titles&gt;&lt;title&gt;Accuracy of dividend discount model and p/e ratio valuation in Indonesia stock exchange&lt;/title&gt;&lt;secondary-title&gt;Proceedings of the the 3rd International Conference on Education &amp;amp; Social Science Research (ICESRE)&lt;/secondary-title&gt;&lt;/titles&gt;&lt;dates&gt;&lt;year&gt;2020&lt;/year&gt;&lt;/dates&gt;&lt;urls&gt;&lt;/urls&gt;&lt;/record&gt;&lt;/Cite&gt;&lt;/EndNote&gt;</w:instrText>
      </w:r>
      <w:r w:rsidR="002F0897">
        <w:rPr>
          <w:lang w:val="aa-ET"/>
        </w:rPr>
        <w:fldChar w:fldCharType="separate"/>
      </w:r>
      <w:r w:rsidR="002F0897">
        <w:rPr>
          <w:noProof/>
          <w:lang w:val="aa-ET"/>
        </w:rPr>
        <w:t>(Sutjipto &amp; Setiawan, 2020)</w:t>
      </w:r>
      <w:r w:rsidR="002F0897">
        <w:rPr>
          <w:lang w:val="aa-ET"/>
        </w:rPr>
        <w:fldChar w:fldCharType="end"/>
      </w:r>
      <w:r w:rsidRPr="005F2457">
        <w:rPr>
          <w:lang w:val="aa-ET"/>
        </w:rPr>
        <w:t>. Value investors prefer low P/Es but must consider growth and risk (Stockholders' equity definition, 2024; Yahoo Finance, 2025). 3.15 TTM EPS is profit per share. The company earned $3.15 per share last year, which can help investors understand operational performance and the P/E ratio</w:t>
      </w:r>
      <w:r>
        <w:rPr>
          <w:lang w:val="aa-ET"/>
        </w:rPr>
        <w:t>.</w:t>
      </w:r>
    </w:p>
    <w:p w14:paraId="0FDC48E9" w14:textId="2C91900E" w:rsidR="005F2457" w:rsidRPr="005F2457" w:rsidRDefault="005F2457" w:rsidP="008B5945">
      <w:pPr>
        <w:spacing w:line="480" w:lineRule="auto"/>
        <w:ind w:firstLine="720"/>
        <w:jc w:val="both"/>
        <w:rPr>
          <w:lang w:val="aa-ET"/>
        </w:rPr>
      </w:pPr>
      <w:r w:rsidRPr="005F2457">
        <w:rPr>
          <w:lang w:val="aa-ET"/>
        </w:rPr>
        <w:t>Forward Dividend &amp; Yield forecasts stock dividends</w:t>
      </w:r>
      <w:r w:rsidR="002F0897">
        <w:rPr>
          <w:lang w:val="aa-ET"/>
        </w:rPr>
        <w:t xml:space="preserve"> </w:t>
      </w:r>
      <w:r w:rsidR="002F0897">
        <w:rPr>
          <w:lang w:val="aa-ET"/>
        </w:rPr>
        <w:fldChar w:fldCharType="begin"/>
      </w:r>
      <w:r w:rsidR="002F0897">
        <w:rPr>
          <w:lang w:val="aa-ET"/>
        </w:rPr>
        <w:instrText xml:space="preserve"> ADDIN EN.CITE &lt;EndNote&gt;&lt;Cite&gt;&lt;Author&gt;Bilinski&lt;/Author&gt;&lt;Year&gt;2022&lt;/Year&gt;&lt;RecNum&gt;2929&lt;/RecNum&gt;&lt;DisplayText&gt;(Bilinski &amp;amp; Bradshaw, 2022)&lt;/DisplayText&gt;&lt;record&gt;&lt;rec-number&gt;2929&lt;/rec-number&gt;&lt;foreign-keys&gt;&lt;key app="EN" db-id="zxrtwszvnew9f9e9p0vv0wfld5x2wxp9wzp5" timestamp="1739107900"&gt;2929&lt;/key&gt;&lt;/foreign-keys&gt;&lt;ref-type name="Journal Article"&gt;17&lt;/ref-type&gt;&lt;contributors&gt;&lt;authors&gt;&lt;author&gt;Bilinski, Pawel&lt;/author&gt;&lt;author&gt;Bradshaw, Mark T&lt;/author&gt;&lt;/authors&gt;&lt;/contributors&gt;&lt;titles&gt;&lt;title&gt;Analyst dividend forecasts and their usefulness to investors&lt;/title&gt;&lt;secondary-title&gt;The Accounting Review&lt;/secondary-title&gt;&lt;/titles&gt;&lt;periodical&gt;&lt;full-title&gt;The Accounting Review&lt;/full-title&gt;&lt;/periodical&gt;&lt;pages&gt;75-104&lt;/pages&gt;&lt;volume&gt;97&lt;/volume&gt;&lt;number&gt;4&lt;/number&gt;&lt;dates&gt;&lt;year&gt;2022&lt;/year&gt;&lt;/dates&gt;&lt;isbn&gt;1558-7967&lt;/isbn&gt;&lt;urls&gt;&lt;/urls&gt;&lt;/record&gt;&lt;/Cite&gt;&lt;/EndNote&gt;</w:instrText>
      </w:r>
      <w:r w:rsidR="002F0897">
        <w:rPr>
          <w:lang w:val="aa-ET"/>
        </w:rPr>
        <w:fldChar w:fldCharType="separate"/>
      </w:r>
      <w:r w:rsidR="002F0897">
        <w:rPr>
          <w:noProof/>
          <w:lang w:val="aa-ET"/>
        </w:rPr>
        <w:t>(Bilinski &amp; Bradshaw, 2022)</w:t>
      </w:r>
      <w:r w:rsidR="002F0897">
        <w:rPr>
          <w:lang w:val="aa-ET"/>
        </w:rPr>
        <w:fldChar w:fldCharType="end"/>
      </w:r>
      <w:r w:rsidRPr="005F2457">
        <w:rPr>
          <w:lang w:val="aa-ET"/>
        </w:rPr>
        <w:t>. GigaCloud Technology Inc. has not declared or paid dividends. Reinvesting profits instead of distributing them may boost growth. Without a forward dividend and yield, investors focus on capital gains rather than income, making other performance metrics crucial for assessing the company's appreciation potential.</w:t>
      </w:r>
      <w:r>
        <w:rPr>
          <w:lang w:val="aa-ET"/>
        </w:rPr>
        <w:t xml:space="preserve"> </w:t>
      </w:r>
      <w:r w:rsidRPr="005F2457">
        <w:rPr>
          <w:lang w:val="aa-ET"/>
        </w:rPr>
        <w:t>Net income/revenue is profit margin</w:t>
      </w:r>
      <w:r w:rsidR="002F0897">
        <w:rPr>
          <w:lang w:val="aa-ET"/>
        </w:rPr>
        <w:t xml:space="preserve"> </w:t>
      </w:r>
      <w:r w:rsidR="002F0897">
        <w:rPr>
          <w:lang w:val="aa-ET"/>
        </w:rPr>
        <w:fldChar w:fldCharType="begin"/>
      </w:r>
      <w:r w:rsidR="002F0897">
        <w:rPr>
          <w:lang w:val="aa-ET"/>
        </w:rPr>
        <w:instrText xml:space="preserve"> ADDIN EN.CITE &lt;EndNote&gt;&lt;Cite&gt;&lt;Author&gt;Indrawan&lt;/Author&gt;&lt;Year&gt;2024&lt;/Year&gt;&lt;RecNum&gt;2931&lt;/RecNum&gt;&lt;DisplayText&gt;(Indrawan et al., 2024)&lt;/DisplayText&gt;&lt;record&gt;&lt;rec-number&gt;2931&lt;/rec-number&gt;&lt;foreign-keys&gt;&lt;key app="EN" db-id="zxrtwszvnew9f9e9p0vv0wfld5x2wxp9wzp5" timestamp="1739107967"&gt;2931&lt;/key&gt;&lt;/foreign-keys&gt;&lt;ref-type name="Journal Article"&gt;17&lt;/ref-type&gt;&lt;contributors&gt;&lt;authors&gt;&lt;author&gt;Indrawan, Hieronimus Erwin&lt;/author&gt;&lt;author&gt;Arinie, Astri Julia&lt;/author&gt;&lt;author&gt;Warpindyastuti, Lady Diana&lt;/author&gt;&lt;author&gt;Azizah, Ayu&lt;/author&gt;&lt;author&gt;Al Paksi, Yudha Febri&lt;/author&gt;&lt;/authors&gt;&lt;/contributors&gt;&lt;titles&gt;&lt;title&gt;The effect of total debt on net profit in industrial companies&lt;/title&gt;&lt;secondary-title&gt;Enrichment: Journal of Management&lt;/secondary-title&gt;&lt;/titles&gt;&lt;periodical&gt;&lt;full-title&gt;Enrichment: Journal of Management&lt;/full-title&gt;&lt;/periodical&gt;&lt;pages&gt;227-237&lt;/pages&gt;&lt;volume&gt;14&lt;/volume&gt;&lt;number&gt;2&lt;/number&gt;&lt;dates&gt;&lt;year&gt;2024&lt;/year&gt;&lt;/dates&gt;&lt;isbn&gt;2721-7787&lt;/isbn&gt;&lt;urls&gt;&lt;/urls&gt;&lt;/record&gt;&lt;/Cite&gt;&lt;/EndNote&gt;</w:instrText>
      </w:r>
      <w:r w:rsidR="002F0897">
        <w:rPr>
          <w:lang w:val="aa-ET"/>
        </w:rPr>
        <w:fldChar w:fldCharType="separate"/>
      </w:r>
      <w:r w:rsidR="002F0897">
        <w:rPr>
          <w:noProof/>
          <w:lang w:val="aa-ET"/>
        </w:rPr>
        <w:t>(Indrawan et al., 2024)</w:t>
      </w:r>
      <w:r w:rsidR="002F0897">
        <w:rPr>
          <w:lang w:val="aa-ET"/>
        </w:rPr>
        <w:fldChar w:fldCharType="end"/>
      </w:r>
      <w:r w:rsidRPr="005F2457">
        <w:rPr>
          <w:lang w:val="aa-ET"/>
        </w:rPr>
        <w:t>. GigaCloud Technology Inc. earns 11.75 cents per revenue dollar after expenses. Companies with cost control are profitable. In this range, technology and data processing companies thrive due to high operating costs.</w:t>
      </w:r>
      <w:r>
        <w:rPr>
          <w:lang w:val="aa-ET"/>
        </w:rPr>
        <w:t xml:space="preserve"> </w:t>
      </w:r>
      <w:r w:rsidRPr="005F2457">
        <w:rPr>
          <w:lang w:val="aa-ET"/>
        </w:rPr>
        <w:t>TTM operating margin measures revenue after operating expenses, excluding interest and taxes. The 13.44 percent operating margin of GigaCloud Technology Inc. indicates efficient core business operations. The lack of financing and tax structures makes this metric ideal for industry company operational performance comparisons</w:t>
      </w:r>
      <w:r w:rsidR="002F0897">
        <w:rPr>
          <w:lang w:val="aa-ET"/>
        </w:rPr>
        <w:t xml:space="preserve"> </w:t>
      </w:r>
      <w:r w:rsidR="002F0897">
        <w:rPr>
          <w:lang w:val="aa-ET"/>
        </w:rPr>
        <w:fldChar w:fldCharType="begin"/>
      </w:r>
      <w:r w:rsidR="002F0897">
        <w:rPr>
          <w:lang w:val="aa-ET"/>
        </w:rPr>
        <w:instrText xml:space="preserve"> ADDIN EN.CITE &lt;EndNote&gt;&lt;Cite&gt;&lt;Author&gt;Cheong&lt;/Author&gt;&lt;Year&gt;2020&lt;/Year&gt;&lt;RecNum&gt;2932&lt;/RecNum&gt;&lt;DisplayText&gt;(Cheong et al., 2020)&lt;/DisplayText&gt;&lt;record&gt;&lt;rec-number&gt;2932&lt;/rec-number&gt;&lt;foreign-keys&gt;&lt;key app="EN" db-id="zxrtwszvnew9f9e9p0vv0wfld5x2wxp9wzp5" timestamp="1739107991"&gt;2932&lt;/key&gt;&lt;/foreign-keys&gt;&lt;ref-type name="Journal Article"&gt;17&lt;/ref-type&gt;&lt;contributors&gt;&lt;authors&gt;&lt;author&gt;Cheong, Calvin WH&lt;/author&gt;&lt;author&gt;Lee, Miin Huui&lt;/author&gt;&lt;author&gt;Weissmann, Marc Arul&lt;/author&gt;&lt;/authors&gt;&lt;/contributors&gt;&lt;titles&gt;&lt;title&gt;Credit access, tax structure and the performance of Malaysian manufacturing SMEs&lt;/title&gt;&lt;secondary-title&gt;International Journal of Managerial Finance&lt;/secondary-title&gt;&lt;/titles&gt;&lt;periodical&gt;&lt;full-title&gt;International Journal of Managerial Finance&lt;/full-title&gt;&lt;/periodical&gt;&lt;pages&gt;433-454&lt;/pages&gt;&lt;volume&gt;16&lt;/volume&gt;&lt;number&gt;4&lt;/number&gt;&lt;dates&gt;&lt;year&gt;2020&lt;/year&gt;&lt;/dates&gt;&lt;isbn&gt;1743-9132&lt;/isbn&gt;&lt;urls&gt;&lt;/urls&gt;&lt;/record&gt;&lt;/Cite&gt;&lt;/EndNote&gt;</w:instrText>
      </w:r>
      <w:r w:rsidR="002F0897">
        <w:rPr>
          <w:lang w:val="aa-ET"/>
        </w:rPr>
        <w:fldChar w:fldCharType="separate"/>
      </w:r>
      <w:r w:rsidR="002F0897">
        <w:rPr>
          <w:noProof/>
          <w:lang w:val="aa-ET"/>
        </w:rPr>
        <w:t>(Cheong et al., 2020)</w:t>
      </w:r>
      <w:r w:rsidR="002F0897">
        <w:rPr>
          <w:lang w:val="aa-ET"/>
        </w:rPr>
        <w:fldChar w:fldCharType="end"/>
      </w:r>
      <w:r w:rsidRPr="005F2457">
        <w:rPr>
          <w:lang w:val="aa-ET"/>
        </w:rPr>
        <w:t>.</w:t>
      </w:r>
    </w:p>
    <w:p w14:paraId="6C7D544F" w14:textId="0E98A1BF" w:rsidR="005F2457" w:rsidRPr="005F2457" w:rsidRDefault="005F2457" w:rsidP="00ED5CCF">
      <w:pPr>
        <w:spacing w:line="480" w:lineRule="auto"/>
        <w:ind w:firstLine="720"/>
        <w:jc w:val="both"/>
        <w:rPr>
          <w:lang w:val="aa-ET"/>
        </w:rPr>
      </w:pPr>
      <w:r w:rsidRPr="005F2457">
        <w:rPr>
          <w:lang w:val="aa-ET"/>
        </w:rPr>
        <w:lastRenderedPageBreak/>
        <w:t>Management effectiveness is measured by asset and equity returns. Corporations earn 11.19 cents per asset dollar. This ratio measures a company's asset utilisation and profit. Company ROE is 39.85%, or nearly 40 cents per shareholder dollar. Leverage and financial structure should be considered by management with efficient equity capital use and high ROE.</w:t>
      </w:r>
      <w:r>
        <w:rPr>
          <w:lang w:val="aa-ET"/>
        </w:rPr>
        <w:t xml:space="preserve"> </w:t>
      </w:r>
      <w:r w:rsidRPr="005F2457">
        <w:rPr>
          <w:lang w:val="aa-ET"/>
        </w:rPr>
        <w:t xml:space="preserve">Revenue, Profit QoY Growth compares current quarter figures to last year's to show short-term performance. GigaCloud Technology Inc.'s quarterly revenue and earnings </w:t>
      </w:r>
      <w:r w:rsidR="005C1125">
        <w:rPr>
          <w:lang w:val="aa-ET"/>
        </w:rPr>
        <w:t>increase</w:t>
      </w:r>
      <w:r w:rsidRPr="005F2457">
        <w:rPr>
          <w:lang w:val="aa-ET"/>
        </w:rPr>
        <w:t xml:space="preserve"> of 70.20 and 68.10 percent indicate strong sales and profitability. Market expansion, product launches, and operational improvements boost future performance, causing rapid growth.</w:t>
      </w:r>
      <w:r>
        <w:rPr>
          <w:lang w:val="aa-ET"/>
        </w:rPr>
        <w:t xml:space="preserve"> </w:t>
      </w:r>
      <w:r w:rsidR="000C2684" w:rsidRPr="000C2684">
        <w:rPr>
          <w:lang w:val="aa-ET"/>
        </w:rPr>
        <w:t xml:space="preserve">Another key operating performance indicator </w:t>
      </w:r>
      <w:r w:rsidR="005C1125">
        <w:rPr>
          <w:lang w:val="aa-ET"/>
        </w:rPr>
        <w:t>could be</w:t>
      </w:r>
      <w:r w:rsidR="000C2684" w:rsidRPr="000C2684">
        <w:rPr>
          <w:lang w:val="aa-ET"/>
        </w:rPr>
        <w:t xml:space="preserve"> EBITDA, Taxes, Depreciation</w:t>
      </w:r>
      <w:r w:rsidR="005C1125">
        <w:rPr>
          <w:lang w:val="aa-ET"/>
        </w:rPr>
        <w:t xml:space="preserve">, </w:t>
      </w:r>
      <w:r w:rsidR="005C1125" w:rsidRPr="000C2684">
        <w:rPr>
          <w:lang w:val="aa-ET"/>
        </w:rPr>
        <w:t>Earnings Before Interest</w:t>
      </w:r>
      <w:r w:rsidR="000C2684" w:rsidRPr="000C2684">
        <w:rPr>
          <w:lang w:val="aa-ET"/>
        </w:rPr>
        <w:t>, and Amortisation. Investors can evaluate the company's cash flow without its capital structure, tax environment, or non-cash accounting items with EBITDA of 6.56 (presumably in millions or as a margin percentage). Capital-intensive companies' operational profitability and cash flow potential are shown by EBITDA</w:t>
      </w:r>
      <w:r w:rsidR="000C2684">
        <w:rPr>
          <w:lang w:val="aa-ET"/>
        </w:rPr>
        <w:t xml:space="preserve"> </w:t>
      </w:r>
      <w:r w:rsidR="002F0897">
        <w:rPr>
          <w:lang w:val="aa-ET"/>
        </w:rPr>
        <w:fldChar w:fldCharType="begin"/>
      </w:r>
      <w:r w:rsidR="002F0897">
        <w:rPr>
          <w:lang w:val="aa-ET"/>
        </w:rPr>
        <w:instrText xml:space="preserve"> ADDIN EN.CITE &lt;EndNote&gt;&lt;Cite&gt;&lt;Author&gt;Açıkgöz&lt;/Author&gt;&lt;Year&gt;2020&lt;/Year&gt;&lt;RecNum&gt;2933&lt;/RecNum&gt;&lt;DisplayText&gt;(Açıkgöz, 2020)&lt;/DisplayText&gt;&lt;record&gt;&lt;rec-number&gt;2933&lt;/rec-number&gt;&lt;foreign-keys&gt;&lt;key app="EN" db-id="zxrtwszvnew9f9e9p0vv0wfld5x2wxp9wzp5" timestamp="1739108040"&gt;2933&lt;/key&gt;&lt;/foreign-keys&gt;&lt;ref-type name="Journal Article"&gt;17&lt;/ref-type&gt;&lt;contributors&gt;&lt;authors&gt;&lt;author&gt;Açıkgöz, Gamze&lt;/author&gt;&lt;/authors&gt;&lt;/contributors&gt;&lt;titles&gt;&lt;title&gt;Investigation of the effect of the assessment of the company on the financial tables and the sampling of FAVÖK (EBITDA) method on a ring open company&lt;/title&gt;&lt;secondary-title&gt;J Ind Policy Technol&lt;/secondary-title&gt;&lt;/titles&gt;&lt;periodical&gt;&lt;full-title&gt;J Ind Policy Technol&lt;/full-title&gt;&lt;/periodical&gt;&lt;pages&gt;61-76&lt;/pages&gt;&lt;volume&gt;2&lt;/volume&gt;&lt;dates&gt;&lt;year&gt;2020&lt;/year&gt;&lt;/dates&gt;&lt;urls&gt;&lt;/urls&gt;&lt;/record&gt;&lt;/Cite&gt;&lt;/EndNote&gt;</w:instrText>
      </w:r>
      <w:r w:rsidR="002F0897">
        <w:rPr>
          <w:lang w:val="aa-ET"/>
        </w:rPr>
        <w:fldChar w:fldCharType="separate"/>
      </w:r>
      <w:r w:rsidR="002F0897">
        <w:rPr>
          <w:noProof/>
          <w:lang w:val="aa-ET"/>
        </w:rPr>
        <w:t>(Açıkgöz, 2020)</w:t>
      </w:r>
      <w:r w:rsidR="002F0897">
        <w:rPr>
          <w:lang w:val="aa-ET"/>
        </w:rPr>
        <w:fldChar w:fldCharType="end"/>
      </w:r>
      <w:r w:rsidRPr="005F2457">
        <w:rPr>
          <w:lang w:val="aa-ET"/>
        </w:rPr>
        <w:t>.</w:t>
      </w:r>
    </w:p>
    <w:p w14:paraId="1F183D28" w14:textId="17E1FAD5" w:rsidR="005F2457" w:rsidRPr="005F2457" w:rsidRDefault="005F2457" w:rsidP="00ED5CCF">
      <w:pPr>
        <w:spacing w:line="480" w:lineRule="auto"/>
        <w:ind w:firstLine="720"/>
        <w:jc w:val="both"/>
        <w:rPr>
          <w:lang w:val="aa-ET"/>
        </w:rPr>
      </w:pPr>
      <w:r w:rsidRPr="005F2457">
        <w:rPr>
          <w:lang w:val="aa-ET"/>
        </w:rPr>
        <w:t>125.99 percent Total Debt/Equity (MRQ) compares liabilities to shareholders' equity. A ratio above 100% indicates the company uses more debt than equity, which can boost growth but increase financial risk if earnings don't cover interest. Strong liquidity allows GigaCloud Technology Inc. to meet short-term obligations with $2.13 in current assets for every dollar of current liabilities. Finally, shareholders' equity/shares outstanding yields 9.68 net asset value per share</w:t>
      </w:r>
      <w:r w:rsidR="002F0897">
        <w:rPr>
          <w:lang w:val="aa-ET"/>
        </w:rPr>
        <w:t xml:space="preserve"> </w:t>
      </w:r>
      <w:r w:rsidR="002F0897">
        <w:rPr>
          <w:lang w:val="aa-ET"/>
        </w:rPr>
        <w:fldChar w:fldCharType="begin"/>
      </w:r>
      <w:r w:rsidR="002F0897">
        <w:rPr>
          <w:lang w:val="aa-ET"/>
        </w:rPr>
        <w:instrText xml:space="preserve"> ADDIN EN.CITE &lt;EndNote&gt;&lt;Cite&gt;&lt;Author&gt;Chucks&lt;/Author&gt;&lt;Year&gt;2021&lt;/Year&gt;&lt;RecNum&gt;2934&lt;/RecNum&gt;&lt;DisplayText&gt;(Chucks et al., 2021)&lt;/DisplayText&gt;&lt;record&gt;&lt;rec-number&gt;2934&lt;/rec-number&gt;&lt;foreign-keys&gt;&lt;key app="EN" db-id="zxrtwszvnew9f9e9p0vv0wfld5x2wxp9wzp5" timestamp="1739108072"&gt;2934&lt;/key&gt;&lt;/foreign-keys&gt;&lt;ref-type name="Journal Article"&gt;17&lt;/ref-type&gt;&lt;contributors&gt;&lt;authors&gt;&lt;author&gt;Chucks, Akan David&lt;/author&gt;&lt;author&gt;Felix, Ighosewe Enaibre&lt;/author&gt;&lt;author&gt;Temile, Sunny Oteteya&lt;/author&gt;&lt;/authors&gt;&lt;/contributors&gt;&lt;titles&gt;&lt;title&gt;Determinants of equity share price movement: evidence from the Nigerian banking industry (2000 C 2014)&lt;/title&gt;&lt;secondary-title&gt;International Journal of Financial Research&lt;/secondary-title&gt;&lt;/titles&gt;&lt;periodical&gt;&lt;full-title&gt;International Journal of Financial Research&lt;/full-title&gt;&lt;/periodical&gt;&lt;pages&gt;319-328&lt;/pages&gt;&lt;volume&gt;12&lt;/volume&gt;&lt;number&gt;1&lt;/number&gt;&lt;dates&gt;&lt;year&gt;2021&lt;/year&gt;&lt;/dates&gt;&lt;urls&gt;&lt;/urls&gt;&lt;/record&gt;&lt;/Cite&gt;&lt;/EndNote&gt;</w:instrText>
      </w:r>
      <w:r w:rsidR="002F0897">
        <w:rPr>
          <w:lang w:val="aa-ET"/>
        </w:rPr>
        <w:fldChar w:fldCharType="separate"/>
      </w:r>
      <w:r w:rsidR="002F0897">
        <w:rPr>
          <w:noProof/>
          <w:lang w:val="aa-ET"/>
        </w:rPr>
        <w:t>(Chucks et al., 2021)</w:t>
      </w:r>
      <w:r w:rsidR="002F0897">
        <w:rPr>
          <w:lang w:val="aa-ET"/>
        </w:rPr>
        <w:fldChar w:fldCharType="end"/>
      </w:r>
      <w:r w:rsidRPr="005F2457">
        <w:rPr>
          <w:lang w:val="aa-ET"/>
        </w:rPr>
        <w:t>. This measure establishes an intrinsic valuation baseline and determines if a stock is undervalued or overvalued.</w:t>
      </w:r>
    </w:p>
    <w:p w14:paraId="61670265" w14:textId="775E65C6" w:rsidR="00FA6078" w:rsidRPr="003A2DBE" w:rsidRDefault="005F2457" w:rsidP="00ED5CCF">
      <w:pPr>
        <w:spacing w:line="480" w:lineRule="auto"/>
        <w:ind w:firstLine="720"/>
        <w:jc w:val="both"/>
        <w:rPr>
          <w:lang w:val="aa-ET"/>
        </w:rPr>
      </w:pPr>
      <w:r w:rsidRPr="005F2457">
        <w:rPr>
          <w:lang w:val="aa-ET"/>
        </w:rPr>
        <w:t xml:space="preserve">Market valuation, profitability, operational efficiency, and financial stability are shown by these metrics for GigaCloud Technology Inc. The company's low P/E ratio, solid EPS, and high profit and operating margins demonstrate cost control and operational excellence. Revenue and </w:t>
      </w:r>
      <w:r w:rsidRPr="005F2457">
        <w:rPr>
          <w:lang w:val="aa-ET"/>
        </w:rPr>
        <w:lastRenderedPageBreak/>
        <w:t xml:space="preserve">earnings growth indicate business momentum, and high ROE indicates good equity capital use. Current ratio and book value per share indicate liquidity and asset base, but debt-to-equity ratio above 100% indicates high leverage. These factors suggest GigaCloud Technology Inc. will grow, but investors should consider debt risks </w:t>
      </w:r>
    </w:p>
    <w:p w14:paraId="47D3C6A4" w14:textId="77777777" w:rsidR="00FA6078" w:rsidRPr="0071116B" w:rsidRDefault="00FA6078" w:rsidP="00FA6078">
      <w:pPr>
        <w:spacing w:line="480" w:lineRule="auto"/>
        <w:jc w:val="center"/>
        <w:rPr>
          <w:b/>
          <w:bCs/>
          <w:color w:val="000000" w:themeColor="text1"/>
        </w:rPr>
      </w:pPr>
      <w:r w:rsidRPr="0071116B">
        <w:rPr>
          <w:b/>
          <w:bCs/>
          <w:color w:val="000000" w:themeColor="text1"/>
        </w:rPr>
        <w:t>Recommendations</w:t>
      </w:r>
    </w:p>
    <w:p w14:paraId="28990F37" w14:textId="2138A7CB" w:rsidR="004B49AE" w:rsidRPr="004B49AE" w:rsidRDefault="005F2457" w:rsidP="00ED5CCF">
      <w:pPr>
        <w:spacing w:line="480" w:lineRule="auto"/>
        <w:ind w:firstLine="720"/>
        <w:jc w:val="both"/>
        <w:rPr>
          <w:color w:val="000000" w:themeColor="text1"/>
          <w:lang w:val="aa-ET"/>
        </w:rPr>
      </w:pPr>
      <w:r w:rsidRPr="005F2457">
        <w:rPr>
          <w:color w:val="000000" w:themeColor="text1"/>
          <w:lang w:val="aa-ET"/>
        </w:rPr>
        <w:t xml:space="preserve">Analysts rate GigaCloud Technology Inc. (GCT) "Buy" or "Strong Buy." Recently released analyst reports remain bullish on the company. Roth MKM has had a "Buy" rating since 2023, while Lake Street and Maxim Group started in mid-2024. </w:t>
      </w:r>
      <w:r>
        <w:rPr>
          <w:color w:val="000000" w:themeColor="text1"/>
          <w:lang w:val="aa-ET"/>
        </w:rPr>
        <w:t xml:space="preserve"> </w:t>
      </w:r>
      <w:r w:rsidRPr="005F2457">
        <w:rPr>
          <w:color w:val="000000" w:themeColor="text1"/>
          <w:lang w:val="aa-ET"/>
        </w:rPr>
        <w:t>GCT analyst price targets support optimism. A $32.00 average analyst price target could lift the stock over 61.7% from $19.79. Gains from the highest target price, $69.00, are huge. Price targets reflect confidence in company growth and investor returns. Analysts expect Q4 2024 EPS of $0.88 and full-year 2024 EPS of $3.57, up 55% from 2023. EPS should reach $3.96 in 2025. Revenue is expected to grow 63.9% in 2024, supporting the company's expansion</w:t>
      </w:r>
      <w:r w:rsidR="002F0897">
        <w:rPr>
          <w:color w:val="000000" w:themeColor="text1"/>
          <w:lang w:val="aa-ET"/>
        </w:rPr>
        <w:t xml:space="preserve"> </w:t>
      </w:r>
      <w:r w:rsidR="002F0897">
        <w:rPr>
          <w:color w:val="000000" w:themeColor="text1"/>
          <w:lang w:val="aa-ET"/>
        </w:rPr>
        <w:fldChar w:fldCharType="begin"/>
      </w:r>
      <w:r w:rsidR="002F0897">
        <w:rPr>
          <w:color w:val="000000" w:themeColor="text1"/>
          <w:lang w:val="aa-ET"/>
        </w:rPr>
        <w:instrText xml:space="preserve"> ADDIN EN.CITE &lt;EndNote&gt;&lt;Cite&gt;&lt;Author&gt;Finance Yahoo&lt;/Author&gt;&lt;Year&gt;2025&lt;/Year&gt;&lt;RecNum&gt;2928&lt;/RecNum&gt;&lt;DisplayText&gt;(Finance Yahoo, 2025)&lt;/DisplayText&gt;&lt;record&gt;&lt;rec-number&gt;2928&lt;/rec-number&gt;&lt;foreign-keys&gt;&lt;key app="EN" db-id="zxrtwszvnew9f9e9p0vv0wfld5x2wxp9wzp5" timestamp="1739107731"&gt;2928&lt;/key&gt;&lt;/foreign-keys&gt;&lt;ref-type name="Web Page"&gt;12&lt;/ref-type&gt;&lt;contributors&gt;&lt;authors&gt;&lt;author&gt;Finance Yahoo,&lt;/author&gt;&lt;/authors&gt;&lt;/contributors&gt;&lt;titles&gt;&lt;title&gt;GigaCloud Technology Inc. (GCT)&lt;/title&gt;&lt;/titles&gt;&lt;volume&gt;2025&lt;/volume&gt;&lt;number&gt;9th February&lt;/number&gt;&lt;dates&gt;&lt;year&gt;2025&lt;/year&gt;&lt;/dates&gt;&lt;urls&gt;&lt;related-urls&gt;&lt;url&gt;https://finance.yahoo.com/quote/GCT/key-statistics/&lt;/url&gt;&lt;/related-urls&gt;&lt;/urls&gt;&lt;/record&gt;&lt;/Cite&gt;&lt;/EndNote&gt;</w:instrText>
      </w:r>
      <w:r w:rsidR="002F0897">
        <w:rPr>
          <w:color w:val="000000" w:themeColor="text1"/>
          <w:lang w:val="aa-ET"/>
        </w:rPr>
        <w:fldChar w:fldCharType="separate"/>
      </w:r>
      <w:r w:rsidR="002F0897">
        <w:rPr>
          <w:noProof/>
          <w:color w:val="000000" w:themeColor="text1"/>
          <w:lang w:val="aa-ET"/>
        </w:rPr>
        <w:t>(Finance Yahoo, 2025)</w:t>
      </w:r>
      <w:r w:rsidR="002F0897">
        <w:rPr>
          <w:color w:val="000000" w:themeColor="text1"/>
          <w:lang w:val="aa-ET"/>
        </w:rPr>
        <w:fldChar w:fldCharType="end"/>
      </w:r>
      <w:r w:rsidRPr="005F2457">
        <w:rPr>
          <w:color w:val="000000" w:themeColor="text1"/>
          <w:lang w:val="aa-ET"/>
        </w:rPr>
        <w:t>. These numbers suggest analysts expect continued profitability and revenue growth, supporting their positive recommendations. GCT faces risks despite its financial strength. In a high-interest-rate environment, the 125.99% debt-to-equity ratio may make debt financing difficult. Current ratio of 2.13 indicates company liquidity for short-term obligations. The overall recommendation trends suggest that GCT remains an attractive investment, especially for growth-oriented investors willing to take on risk for high returns.</w:t>
      </w:r>
    </w:p>
    <w:p w14:paraId="7F79F8D8" w14:textId="77777777" w:rsidR="000455F6" w:rsidRPr="007E1727" w:rsidRDefault="000455F6" w:rsidP="00302BC5">
      <w:pPr>
        <w:pStyle w:val="Blockquote"/>
        <w:spacing w:before="0" w:after="0" w:line="480" w:lineRule="auto"/>
        <w:ind w:left="0" w:right="0"/>
        <w:jc w:val="center"/>
        <w:rPr>
          <w:b/>
          <w:color w:val="000000"/>
          <w:szCs w:val="24"/>
        </w:rPr>
      </w:pPr>
      <w:r w:rsidRPr="007E1727">
        <w:rPr>
          <w:b/>
          <w:color w:val="000000"/>
          <w:szCs w:val="24"/>
        </w:rPr>
        <w:t>Conclusion</w:t>
      </w:r>
    </w:p>
    <w:p w14:paraId="757AB236" w14:textId="64B82B2F" w:rsidR="004B49AE" w:rsidRPr="004B49AE" w:rsidRDefault="005F2457" w:rsidP="00E60826">
      <w:pPr>
        <w:tabs>
          <w:tab w:val="left" w:pos="360"/>
        </w:tabs>
        <w:overflowPunct w:val="0"/>
        <w:autoSpaceDE w:val="0"/>
        <w:autoSpaceDN w:val="0"/>
        <w:adjustRightInd w:val="0"/>
        <w:spacing w:line="480" w:lineRule="auto"/>
        <w:ind w:firstLine="360"/>
        <w:jc w:val="both"/>
        <w:textAlignment w:val="baseline"/>
        <w:rPr>
          <w:color w:val="000000"/>
          <w:lang w:val="aa-ET"/>
        </w:rPr>
      </w:pPr>
      <w:r w:rsidRPr="005F2457">
        <w:rPr>
          <w:color w:val="000000"/>
          <w:lang w:val="aa-ET"/>
        </w:rPr>
        <w:t xml:space="preserve">GigaCloud Technology Inc. continues to grow earnings, revenue, and profitability. With significantly higher price targets, analyst recommendations boost the stock's potential. Leverage </w:t>
      </w:r>
      <w:r w:rsidRPr="005F2457">
        <w:rPr>
          <w:color w:val="000000"/>
          <w:lang w:val="aa-ET"/>
        </w:rPr>
        <w:lastRenderedPageBreak/>
        <w:t>puts the company at risk, but its liquidity and reinvestment strategy support long-term growth. Investors seeking high growth may find GCT appealing.</w:t>
      </w:r>
    </w:p>
    <w:p w14:paraId="4FC7EFA2" w14:textId="5D2B273D" w:rsidR="00026777" w:rsidRPr="002F0897" w:rsidRDefault="000455F6" w:rsidP="002F0897">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color w:val="000000"/>
        </w:rPr>
        <w:br w:type="page"/>
      </w:r>
      <w:r w:rsidRPr="007E1727">
        <w:rPr>
          <w:b/>
          <w:color w:val="000000"/>
        </w:rPr>
        <w:lastRenderedPageBreak/>
        <w:t>References</w:t>
      </w:r>
    </w:p>
    <w:p w14:paraId="70A64802" w14:textId="013B5B53" w:rsidR="002F0897" w:rsidRPr="002F0897" w:rsidRDefault="00026777" w:rsidP="00793A39">
      <w:pPr>
        <w:pStyle w:val="EndNoteBibliography"/>
        <w:ind w:left="720" w:hanging="720"/>
        <w:jc w:val="both"/>
      </w:pPr>
      <w:r>
        <w:rPr>
          <w:color w:val="000000"/>
        </w:rPr>
        <w:fldChar w:fldCharType="begin"/>
      </w:r>
      <w:r>
        <w:rPr>
          <w:color w:val="000000"/>
        </w:rPr>
        <w:instrText xml:space="preserve"> ADDIN EN.REFLIST </w:instrText>
      </w:r>
      <w:r>
        <w:rPr>
          <w:color w:val="000000"/>
        </w:rPr>
        <w:fldChar w:fldCharType="separate"/>
      </w:r>
      <w:r w:rsidR="002F0897" w:rsidRPr="002F0897">
        <w:t xml:space="preserve">Accounting Tools. (2024). </w:t>
      </w:r>
      <w:r w:rsidR="002F0897" w:rsidRPr="002F0897">
        <w:rPr>
          <w:i/>
        </w:rPr>
        <w:t>Stockholders' equity definition</w:t>
      </w:r>
      <w:r w:rsidR="002F0897" w:rsidRPr="002F0897">
        <w:t xml:space="preserve">. Retrieved 9th February from </w:t>
      </w:r>
      <w:hyperlink r:id="rId7" w:history="1">
        <w:r w:rsidR="002F0897" w:rsidRPr="002F0897">
          <w:rPr>
            <w:rStyle w:val="Hyperlink"/>
          </w:rPr>
          <w:t>https://www.accountingtools.com/articles/stockholders-equity</w:t>
        </w:r>
      </w:hyperlink>
    </w:p>
    <w:p w14:paraId="66E3C18D" w14:textId="77777777" w:rsidR="002F0897" w:rsidRPr="002F0897" w:rsidRDefault="002F0897" w:rsidP="00793A39">
      <w:pPr>
        <w:pStyle w:val="EndNoteBibliography"/>
        <w:ind w:left="720" w:hanging="720"/>
        <w:jc w:val="both"/>
      </w:pPr>
      <w:r w:rsidRPr="002F0897">
        <w:t xml:space="preserve">Açıkgöz, G. (2020). Investigation of the effect of the assessment of the company on the financial tables and the sampling of FAVÖK (EBITDA) method on a ring open company. </w:t>
      </w:r>
      <w:r w:rsidRPr="002F0897">
        <w:rPr>
          <w:i/>
        </w:rPr>
        <w:t>J Ind Policy Technol</w:t>
      </w:r>
      <w:r w:rsidRPr="002F0897">
        <w:t>,</w:t>
      </w:r>
      <w:r w:rsidRPr="002F0897">
        <w:rPr>
          <w:i/>
        </w:rPr>
        <w:t xml:space="preserve"> 2</w:t>
      </w:r>
      <w:r w:rsidRPr="002F0897">
        <w:t xml:space="preserve">, 61-76. </w:t>
      </w:r>
    </w:p>
    <w:p w14:paraId="72740764" w14:textId="77777777" w:rsidR="002F0897" w:rsidRPr="002F0897" w:rsidRDefault="002F0897" w:rsidP="00793A39">
      <w:pPr>
        <w:pStyle w:val="EndNoteBibliography"/>
        <w:ind w:left="720" w:hanging="720"/>
        <w:jc w:val="both"/>
      </w:pPr>
      <w:r w:rsidRPr="002F0897">
        <w:t xml:space="preserve">Bilinski, P., &amp; Bradshaw, M. T. (2022). Analyst dividend forecasts and their usefulness to investors. </w:t>
      </w:r>
      <w:r w:rsidRPr="002F0897">
        <w:rPr>
          <w:i/>
        </w:rPr>
        <w:t>The Accounting Review</w:t>
      </w:r>
      <w:r w:rsidRPr="002F0897">
        <w:t>,</w:t>
      </w:r>
      <w:r w:rsidRPr="002F0897">
        <w:rPr>
          <w:i/>
        </w:rPr>
        <w:t xml:space="preserve"> 97</w:t>
      </w:r>
      <w:r w:rsidRPr="002F0897">
        <w:t xml:space="preserve">(4), 75-104. </w:t>
      </w:r>
    </w:p>
    <w:p w14:paraId="14731006" w14:textId="77777777" w:rsidR="002F0897" w:rsidRPr="002F0897" w:rsidRDefault="002F0897" w:rsidP="00793A39">
      <w:pPr>
        <w:pStyle w:val="EndNoteBibliography"/>
        <w:ind w:left="720" w:hanging="720"/>
        <w:jc w:val="both"/>
      </w:pPr>
      <w:r w:rsidRPr="002F0897">
        <w:t xml:space="preserve">Cheong, C. W., Lee, M. H., &amp; Weissmann, M. A. (2020). Credit access, tax structure and the performance of Malaysian manufacturing SMEs. </w:t>
      </w:r>
      <w:r w:rsidRPr="002F0897">
        <w:rPr>
          <w:i/>
        </w:rPr>
        <w:t>International Journal of Managerial Finance</w:t>
      </w:r>
      <w:r w:rsidRPr="002F0897">
        <w:t>,</w:t>
      </w:r>
      <w:r w:rsidRPr="002F0897">
        <w:rPr>
          <w:i/>
        </w:rPr>
        <w:t xml:space="preserve"> 16</w:t>
      </w:r>
      <w:r w:rsidRPr="002F0897">
        <w:t xml:space="preserve">(4), 433-454. </w:t>
      </w:r>
    </w:p>
    <w:p w14:paraId="0CE45441" w14:textId="77777777" w:rsidR="002F0897" w:rsidRPr="002F0897" w:rsidRDefault="002F0897" w:rsidP="00793A39">
      <w:pPr>
        <w:pStyle w:val="EndNoteBibliography"/>
        <w:ind w:left="720" w:hanging="720"/>
        <w:jc w:val="both"/>
      </w:pPr>
      <w:r w:rsidRPr="002F0897">
        <w:t xml:space="preserve">Chucks, A. D., Felix, I. E., &amp; Temile, S. O. (2021). Determinants of equity share price movement: evidence from the Nigerian banking industry (2000 C 2014). </w:t>
      </w:r>
      <w:r w:rsidRPr="002F0897">
        <w:rPr>
          <w:i/>
        </w:rPr>
        <w:t>International Journal of Financial Research</w:t>
      </w:r>
      <w:r w:rsidRPr="002F0897">
        <w:t>,</w:t>
      </w:r>
      <w:r w:rsidRPr="002F0897">
        <w:rPr>
          <w:i/>
        </w:rPr>
        <w:t xml:space="preserve"> 12</w:t>
      </w:r>
      <w:r w:rsidRPr="002F0897">
        <w:t xml:space="preserve">(1), 319-328. </w:t>
      </w:r>
    </w:p>
    <w:p w14:paraId="3FCECE3A" w14:textId="0EB849DF" w:rsidR="002F0897" w:rsidRPr="002F0897" w:rsidRDefault="002F0897" w:rsidP="00793A39">
      <w:pPr>
        <w:pStyle w:val="EndNoteBibliography"/>
        <w:ind w:left="720" w:hanging="720"/>
        <w:jc w:val="both"/>
      </w:pPr>
      <w:r w:rsidRPr="002F0897">
        <w:t xml:space="preserve">Finance Yahoo. (2025). </w:t>
      </w:r>
      <w:r w:rsidRPr="002F0897">
        <w:rPr>
          <w:i/>
        </w:rPr>
        <w:t>GigaCloud Technology Inc. (GCT)</w:t>
      </w:r>
      <w:r w:rsidRPr="002F0897">
        <w:t xml:space="preserve">. Retrieved 9th February from </w:t>
      </w:r>
      <w:hyperlink r:id="rId8" w:history="1">
        <w:r w:rsidRPr="002F0897">
          <w:rPr>
            <w:rStyle w:val="Hyperlink"/>
          </w:rPr>
          <w:t>https://finance.yahoo.com/quote/GCT/key-statistics/</w:t>
        </w:r>
      </w:hyperlink>
    </w:p>
    <w:p w14:paraId="1D31251D" w14:textId="1D62260F" w:rsidR="002F0897" w:rsidRPr="002F0897" w:rsidRDefault="002F0897" w:rsidP="00793A39">
      <w:pPr>
        <w:pStyle w:val="EndNoteBibliography"/>
        <w:ind w:left="720" w:hanging="720"/>
        <w:jc w:val="both"/>
      </w:pPr>
      <w:r w:rsidRPr="002F0897">
        <w:t xml:space="preserve">GigaCloud Technology. (2023). </w:t>
      </w:r>
      <w:r w:rsidRPr="002F0897">
        <w:rPr>
          <w:i/>
        </w:rPr>
        <w:t>Giga Cloud Technology Inc. Form 10-K — Annual Report For the Fiscal Year Ended December 31, 2023</w:t>
      </w:r>
      <w:r w:rsidRPr="002F0897">
        <w:t xml:space="preserve">. </w:t>
      </w:r>
      <w:hyperlink r:id="rId9" w:history="1">
        <w:r w:rsidRPr="002F0897">
          <w:rPr>
            <w:rStyle w:val="Hyperlink"/>
          </w:rPr>
          <w:t>https://investors.gigacloudtech.com/static-files/f5ec0a6a-4af6-42c0-9f2e-f9907a29c07f</w:t>
        </w:r>
      </w:hyperlink>
    </w:p>
    <w:p w14:paraId="20FECA9D" w14:textId="77777777" w:rsidR="002F0897" w:rsidRPr="002F0897" w:rsidRDefault="002F0897" w:rsidP="00793A39">
      <w:pPr>
        <w:pStyle w:val="EndNoteBibliography"/>
        <w:ind w:left="720" w:hanging="720"/>
        <w:jc w:val="both"/>
      </w:pPr>
      <w:r w:rsidRPr="002F0897">
        <w:t xml:space="preserve">Guo, J. (2024). Corporate investment, capital structure and (reversed) debt overhang: a comparative analysis of Chinese, US, and global markets. </w:t>
      </w:r>
    </w:p>
    <w:p w14:paraId="43A9E7D5" w14:textId="77777777" w:rsidR="002F0897" w:rsidRPr="002F0897" w:rsidRDefault="002F0897" w:rsidP="00793A39">
      <w:pPr>
        <w:pStyle w:val="EndNoteBibliography"/>
        <w:ind w:left="720" w:hanging="720"/>
        <w:jc w:val="both"/>
      </w:pPr>
      <w:r w:rsidRPr="002F0897">
        <w:t xml:space="preserve">Indrawan, H. E., Arinie, A. J., Warpindyastuti, L. D., Azizah, A., &amp; Al Paksi, Y. F. (2024). The effect of total debt on net profit in industrial companies. </w:t>
      </w:r>
      <w:r w:rsidRPr="002F0897">
        <w:rPr>
          <w:i/>
        </w:rPr>
        <w:t>Enrichment: Journal of Management</w:t>
      </w:r>
      <w:r w:rsidRPr="002F0897">
        <w:t>,</w:t>
      </w:r>
      <w:r w:rsidRPr="002F0897">
        <w:rPr>
          <w:i/>
        </w:rPr>
        <w:t xml:space="preserve"> 14</w:t>
      </w:r>
      <w:r w:rsidRPr="002F0897">
        <w:t xml:space="preserve">(2), 227-237. </w:t>
      </w:r>
    </w:p>
    <w:p w14:paraId="622E5944" w14:textId="28EEC6EA" w:rsidR="002F0897" w:rsidRPr="002F0897" w:rsidRDefault="002F0897" w:rsidP="00793A39">
      <w:pPr>
        <w:pStyle w:val="EndNoteBibliography"/>
        <w:ind w:left="720" w:hanging="720"/>
        <w:jc w:val="both"/>
      </w:pPr>
      <w:r w:rsidRPr="002F0897">
        <w:t xml:space="preserve">Oh, A. (2024). </w:t>
      </w:r>
      <w:r w:rsidRPr="002F0897">
        <w:rPr>
          <w:i/>
        </w:rPr>
        <w:t>Retained Earnings in Accounting and What They Can Tell You</w:t>
      </w:r>
      <w:r w:rsidRPr="002F0897">
        <w:t xml:space="preserve">. Retrieved 9th February from </w:t>
      </w:r>
      <w:hyperlink r:id="rId10" w:history="1">
        <w:r w:rsidRPr="002F0897">
          <w:rPr>
            <w:rStyle w:val="Hyperlink"/>
          </w:rPr>
          <w:t>https://aspireapp.com/blog/what-do-retained-earnings-mean-in-accounting</w:t>
        </w:r>
      </w:hyperlink>
    </w:p>
    <w:p w14:paraId="14349C3D" w14:textId="77777777" w:rsidR="002F0897" w:rsidRPr="002F0897" w:rsidRDefault="002F0897" w:rsidP="002F0897">
      <w:pPr>
        <w:pStyle w:val="EndNoteBibliography"/>
        <w:ind w:left="720" w:hanging="720"/>
        <w:jc w:val="left"/>
      </w:pPr>
      <w:r w:rsidRPr="002F0897">
        <w:t xml:space="preserve">Sutjipto, E., &amp; Setiawan, W. (2020). Accuracy of dividend discount model and p/e ratio valuation in Indonesia stock exchange. Proceedings of the the 3rd International Conference on Education &amp; Social Science Research (ICESRE), </w:t>
      </w:r>
    </w:p>
    <w:p w14:paraId="0C520018" w14:textId="27236709" w:rsidR="00A42F13" w:rsidRPr="007E1727" w:rsidRDefault="00026777" w:rsidP="002F0897">
      <w:pPr>
        <w:spacing w:line="480" w:lineRule="auto"/>
        <w:rPr>
          <w:color w:val="000000"/>
        </w:rPr>
      </w:pPr>
      <w:r>
        <w:rPr>
          <w:color w:val="000000"/>
        </w:rPr>
        <w:fldChar w:fldCharType="end"/>
      </w:r>
      <w:bookmarkStart w:id="0" w:name="_GoBack"/>
      <w:bookmarkEnd w:id="0"/>
    </w:p>
    <w:sectPr w:rsidR="00A42F13" w:rsidRPr="007E1727" w:rsidSect="003F5158">
      <w:headerReference w:type="default" r:id="rId11"/>
      <w:head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60128" w14:textId="77777777" w:rsidR="00F63C99" w:rsidRDefault="00F63C99">
      <w:r>
        <w:separator/>
      </w:r>
    </w:p>
  </w:endnote>
  <w:endnote w:type="continuationSeparator" w:id="0">
    <w:p w14:paraId="0A6CB9CF" w14:textId="77777777" w:rsidR="00F63C99" w:rsidRDefault="00F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2A33C" w14:textId="77777777" w:rsidR="00F63C99" w:rsidRDefault="00F63C99">
      <w:r>
        <w:separator/>
      </w:r>
    </w:p>
  </w:footnote>
  <w:footnote w:type="continuationSeparator" w:id="0">
    <w:p w14:paraId="7237251F" w14:textId="77777777" w:rsidR="00F63C99" w:rsidRDefault="00F63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793A39">
      <w:rPr>
        <w:rStyle w:val="PageNumber"/>
        <w:noProof/>
      </w:rPr>
      <w:t>7</w:t>
    </w:r>
    <w:r>
      <w:rPr>
        <w:rStyle w:val="PageNumber"/>
      </w:rPr>
      <w:fldChar w:fldCharType="end"/>
    </w:r>
  </w:p>
  <w:p w14:paraId="3A9BF68D" w14:textId="469255FD" w:rsidR="00B32F73" w:rsidRPr="00352E8D" w:rsidRDefault="00ED7EAB" w:rsidP="003F5158">
    <w:pPr>
      <w:pStyle w:val="Header"/>
      <w:ind w:right="360"/>
      <w:rPr>
        <w:sz w:val="22"/>
        <w:szCs w:val="22"/>
      </w:rPr>
    </w:pPr>
    <w:r>
      <w:t>BUS5</w:t>
    </w:r>
    <w:r w:rsidR="007E1727">
      <w:t>00</w:t>
    </w:r>
    <w:r w:rsidR="00D0108C">
      <w:t xml:space="preserve"> </w:t>
    </w:r>
    <w:r w:rsidR="007F13BF">
      <w:t>SLP</w:t>
    </w:r>
    <w:r w:rsidR="006624AB">
      <w:t xml:space="preserve"> </w:t>
    </w:r>
    <w:r w:rsidR="00FA6078">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5477D7">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6"/>
  </w:num>
  <w:num w:numId="4">
    <w:abstractNumId w:val="25"/>
  </w:num>
  <w:num w:numId="5">
    <w:abstractNumId w:val="1"/>
  </w:num>
  <w:num w:numId="6">
    <w:abstractNumId w:val="29"/>
  </w:num>
  <w:num w:numId="7">
    <w:abstractNumId w:val="26"/>
  </w:num>
  <w:num w:numId="8">
    <w:abstractNumId w:val="12"/>
  </w:num>
  <w:num w:numId="9">
    <w:abstractNumId w:val="2"/>
  </w:num>
  <w:num w:numId="10">
    <w:abstractNumId w:val="19"/>
  </w:num>
  <w:num w:numId="11">
    <w:abstractNumId w:val="4"/>
  </w:num>
  <w:num w:numId="12">
    <w:abstractNumId w:val="27"/>
  </w:num>
  <w:num w:numId="13">
    <w:abstractNumId w:val="28"/>
  </w:num>
  <w:num w:numId="14">
    <w:abstractNumId w:val="23"/>
  </w:num>
  <w:num w:numId="15">
    <w:abstractNumId w:val="32"/>
  </w:num>
  <w:num w:numId="16">
    <w:abstractNumId w:val="21"/>
  </w:num>
  <w:num w:numId="17">
    <w:abstractNumId w:val="33"/>
  </w:num>
  <w:num w:numId="18">
    <w:abstractNumId w:val="8"/>
  </w:num>
  <w:num w:numId="19">
    <w:abstractNumId w:val="6"/>
  </w:num>
  <w:num w:numId="20">
    <w:abstractNumId w:val="13"/>
  </w:num>
  <w:num w:numId="21">
    <w:abstractNumId w:val="22"/>
  </w:num>
  <w:num w:numId="22">
    <w:abstractNumId w:val="9"/>
  </w:num>
  <w:num w:numId="23">
    <w:abstractNumId w:val="24"/>
  </w:num>
  <w:num w:numId="24">
    <w:abstractNumId w:val="3"/>
  </w:num>
  <w:num w:numId="25">
    <w:abstractNumId w:val="30"/>
  </w:num>
  <w:num w:numId="26">
    <w:abstractNumId w:val="20"/>
  </w:num>
  <w:num w:numId="27">
    <w:abstractNumId w:val="10"/>
  </w:num>
  <w:num w:numId="28">
    <w:abstractNumId w:val="5"/>
  </w:num>
  <w:num w:numId="29">
    <w:abstractNumId w:val="31"/>
  </w:num>
  <w:num w:numId="30">
    <w:abstractNumId w:val="14"/>
  </w:num>
  <w:num w:numId="31">
    <w:abstractNumId w:val="0"/>
  </w:num>
  <w:num w:numId="32">
    <w:abstractNumId w:val="11"/>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Q0MzYztzC3MDE0MDFR0lEKTi0uzszPAykwMq8FAF/Ei5Y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rtwszvnew9f9e9p0vv0wfld5x2wxp9wzp5&quot;&gt;My EndNote Library&lt;record-ids&gt;&lt;item&gt;2645&lt;/item&gt;&lt;item&gt;2925&lt;/item&gt;&lt;item&gt;2926&lt;/item&gt;&lt;item&gt;2927&lt;/item&gt;&lt;item&gt;2928&lt;/item&gt;&lt;item&gt;2929&lt;/item&gt;&lt;item&gt;2930&lt;/item&gt;&lt;item&gt;2931&lt;/item&gt;&lt;item&gt;2932&lt;/item&gt;&lt;item&gt;2933&lt;/item&gt;&lt;item&gt;2934&lt;/item&gt;&lt;/record-ids&gt;&lt;/item&gt;&lt;/Libraries&gt;"/>
  </w:docVars>
  <w:rsids>
    <w:rsidRoot w:val="0050433C"/>
    <w:rsid w:val="00026142"/>
    <w:rsid w:val="00026777"/>
    <w:rsid w:val="0003472F"/>
    <w:rsid w:val="000455F6"/>
    <w:rsid w:val="00047143"/>
    <w:rsid w:val="000511FA"/>
    <w:rsid w:val="0006074E"/>
    <w:rsid w:val="00081629"/>
    <w:rsid w:val="00085C7F"/>
    <w:rsid w:val="000A198A"/>
    <w:rsid w:val="000A39A9"/>
    <w:rsid w:val="000B008D"/>
    <w:rsid w:val="000B6AD6"/>
    <w:rsid w:val="000C144F"/>
    <w:rsid w:val="000C1741"/>
    <w:rsid w:val="000C2684"/>
    <w:rsid w:val="000C6AD9"/>
    <w:rsid w:val="000E0F36"/>
    <w:rsid w:val="000F1641"/>
    <w:rsid w:val="00106FDE"/>
    <w:rsid w:val="001147C1"/>
    <w:rsid w:val="00131A1B"/>
    <w:rsid w:val="001377D4"/>
    <w:rsid w:val="00147909"/>
    <w:rsid w:val="00150EEF"/>
    <w:rsid w:val="00154F49"/>
    <w:rsid w:val="0016250F"/>
    <w:rsid w:val="00163836"/>
    <w:rsid w:val="00167D67"/>
    <w:rsid w:val="001758DE"/>
    <w:rsid w:val="00182003"/>
    <w:rsid w:val="001A55A9"/>
    <w:rsid w:val="001D090F"/>
    <w:rsid w:val="001D1CD9"/>
    <w:rsid w:val="001F40F3"/>
    <w:rsid w:val="0020174B"/>
    <w:rsid w:val="0020241D"/>
    <w:rsid w:val="00211094"/>
    <w:rsid w:val="0021351E"/>
    <w:rsid w:val="002260F7"/>
    <w:rsid w:val="002439C9"/>
    <w:rsid w:val="00253713"/>
    <w:rsid w:val="00256256"/>
    <w:rsid w:val="00286395"/>
    <w:rsid w:val="002A2C9F"/>
    <w:rsid w:val="002B6BFA"/>
    <w:rsid w:val="002C00BE"/>
    <w:rsid w:val="002C7462"/>
    <w:rsid w:val="002D755D"/>
    <w:rsid w:val="002E6180"/>
    <w:rsid w:val="002F0897"/>
    <w:rsid w:val="002F7DEF"/>
    <w:rsid w:val="00302BC5"/>
    <w:rsid w:val="00312827"/>
    <w:rsid w:val="003322C8"/>
    <w:rsid w:val="00332782"/>
    <w:rsid w:val="00340A2C"/>
    <w:rsid w:val="00352229"/>
    <w:rsid w:val="00352E8D"/>
    <w:rsid w:val="00354C36"/>
    <w:rsid w:val="00356E85"/>
    <w:rsid w:val="00361978"/>
    <w:rsid w:val="00364C68"/>
    <w:rsid w:val="00373F79"/>
    <w:rsid w:val="003A0026"/>
    <w:rsid w:val="003A1801"/>
    <w:rsid w:val="003A2DBE"/>
    <w:rsid w:val="003A6529"/>
    <w:rsid w:val="003B7948"/>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32D"/>
    <w:rsid w:val="004578EE"/>
    <w:rsid w:val="004604B1"/>
    <w:rsid w:val="00466700"/>
    <w:rsid w:val="004853C2"/>
    <w:rsid w:val="00492DCE"/>
    <w:rsid w:val="0049530B"/>
    <w:rsid w:val="004A3C8E"/>
    <w:rsid w:val="004B49AE"/>
    <w:rsid w:val="004C1298"/>
    <w:rsid w:val="00502A2F"/>
    <w:rsid w:val="005040FF"/>
    <w:rsid w:val="0050433C"/>
    <w:rsid w:val="0050489F"/>
    <w:rsid w:val="00522766"/>
    <w:rsid w:val="00530A67"/>
    <w:rsid w:val="0053493C"/>
    <w:rsid w:val="005412E4"/>
    <w:rsid w:val="005477D7"/>
    <w:rsid w:val="0055467F"/>
    <w:rsid w:val="00561A56"/>
    <w:rsid w:val="00565081"/>
    <w:rsid w:val="0057635E"/>
    <w:rsid w:val="00581CE2"/>
    <w:rsid w:val="00595B65"/>
    <w:rsid w:val="005C1125"/>
    <w:rsid w:val="005E5214"/>
    <w:rsid w:val="005E5984"/>
    <w:rsid w:val="005F2457"/>
    <w:rsid w:val="005F3678"/>
    <w:rsid w:val="005F3C85"/>
    <w:rsid w:val="005F75ED"/>
    <w:rsid w:val="0060262F"/>
    <w:rsid w:val="0060394A"/>
    <w:rsid w:val="006124DB"/>
    <w:rsid w:val="00614C45"/>
    <w:rsid w:val="00625523"/>
    <w:rsid w:val="006416F4"/>
    <w:rsid w:val="006431F1"/>
    <w:rsid w:val="00660724"/>
    <w:rsid w:val="006624AB"/>
    <w:rsid w:val="00671116"/>
    <w:rsid w:val="00672D33"/>
    <w:rsid w:val="006730B0"/>
    <w:rsid w:val="00674A8C"/>
    <w:rsid w:val="006878F2"/>
    <w:rsid w:val="006A5C5E"/>
    <w:rsid w:val="006B25B5"/>
    <w:rsid w:val="006E1EF5"/>
    <w:rsid w:val="006E4362"/>
    <w:rsid w:val="006F527A"/>
    <w:rsid w:val="0070200D"/>
    <w:rsid w:val="00710AAF"/>
    <w:rsid w:val="00711DC4"/>
    <w:rsid w:val="00732554"/>
    <w:rsid w:val="007572B6"/>
    <w:rsid w:val="0078171D"/>
    <w:rsid w:val="00793A39"/>
    <w:rsid w:val="007A1B1F"/>
    <w:rsid w:val="007D1376"/>
    <w:rsid w:val="007E1727"/>
    <w:rsid w:val="007F13BF"/>
    <w:rsid w:val="007F79BB"/>
    <w:rsid w:val="008026AA"/>
    <w:rsid w:val="0081017D"/>
    <w:rsid w:val="00824636"/>
    <w:rsid w:val="008255DE"/>
    <w:rsid w:val="00841A9E"/>
    <w:rsid w:val="00841F4A"/>
    <w:rsid w:val="00844EE7"/>
    <w:rsid w:val="00854C46"/>
    <w:rsid w:val="0086510C"/>
    <w:rsid w:val="00873554"/>
    <w:rsid w:val="00880C08"/>
    <w:rsid w:val="00883AAD"/>
    <w:rsid w:val="00896609"/>
    <w:rsid w:val="008A0400"/>
    <w:rsid w:val="008B5945"/>
    <w:rsid w:val="008B7F59"/>
    <w:rsid w:val="008C7966"/>
    <w:rsid w:val="008D23AA"/>
    <w:rsid w:val="008D3F0D"/>
    <w:rsid w:val="008D5C02"/>
    <w:rsid w:val="008E469D"/>
    <w:rsid w:val="008F74C4"/>
    <w:rsid w:val="009007D4"/>
    <w:rsid w:val="0091254D"/>
    <w:rsid w:val="0094570E"/>
    <w:rsid w:val="00954A41"/>
    <w:rsid w:val="00960B22"/>
    <w:rsid w:val="009749F9"/>
    <w:rsid w:val="009758CD"/>
    <w:rsid w:val="00977C3F"/>
    <w:rsid w:val="00990C99"/>
    <w:rsid w:val="00991A50"/>
    <w:rsid w:val="009A3DEA"/>
    <w:rsid w:val="009A4C04"/>
    <w:rsid w:val="009B6C8F"/>
    <w:rsid w:val="009C36FD"/>
    <w:rsid w:val="009C743D"/>
    <w:rsid w:val="009C74BD"/>
    <w:rsid w:val="009D375B"/>
    <w:rsid w:val="009D378A"/>
    <w:rsid w:val="00A00D2C"/>
    <w:rsid w:val="00A037C7"/>
    <w:rsid w:val="00A13576"/>
    <w:rsid w:val="00A1437D"/>
    <w:rsid w:val="00A225DF"/>
    <w:rsid w:val="00A27F42"/>
    <w:rsid w:val="00A37498"/>
    <w:rsid w:val="00A426A5"/>
    <w:rsid w:val="00A42F13"/>
    <w:rsid w:val="00A4532E"/>
    <w:rsid w:val="00A6361F"/>
    <w:rsid w:val="00A725AF"/>
    <w:rsid w:val="00A75CFC"/>
    <w:rsid w:val="00A93CC1"/>
    <w:rsid w:val="00A95E3A"/>
    <w:rsid w:val="00AA3F20"/>
    <w:rsid w:val="00AB282D"/>
    <w:rsid w:val="00AD4FAC"/>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80515"/>
    <w:rsid w:val="00B8112C"/>
    <w:rsid w:val="00B93D96"/>
    <w:rsid w:val="00BC2BDC"/>
    <w:rsid w:val="00BD1C8D"/>
    <w:rsid w:val="00BD3733"/>
    <w:rsid w:val="00BD6FF4"/>
    <w:rsid w:val="00BE410C"/>
    <w:rsid w:val="00BF7C6E"/>
    <w:rsid w:val="00C16DDC"/>
    <w:rsid w:val="00C2066A"/>
    <w:rsid w:val="00C21C1C"/>
    <w:rsid w:val="00C22265"/>
    <w:rsid w:val="00C277CE"/>
    <w:rsid w:val="00C31727"/>
    <w:rsid w:val="00C51C2A"/>
    <w:rsid w:val="00C5533D"/>
    <w:rsid w:val="00C74F8E"/>
    <w:rsid w:val="00C769CD"/>
    <w:rsid w:val="00C82EBA"/>
    <w:rsid w:val="00C863E2"/>
    <w:rsid w:val="00C9472F"/>
    <w:rsid w:val="00CA791D"/>
    <w:rsid w:val="00CB254B"/>
    <w:rsid w:val="00CC057E"/>
    <w:rsid w:val="00CC3628"/>
    <w:rsid w:val="00CC4FBF"/>
    <w:rsid w:val="00CD2528"/>
    <w:rsid w:val="00CE2E66"/>
    <w:rsid w:val="00CF070A"/>
    <w:rsid w:val="00D0108C"/>
    <w:rsid w:val="00D13AC0"/>
    <w:rsid w:val="00D172FE"/>
    <w:rsid w:val="00D200BF"/>
    <w:rsid w:val="00D47CA9"/>
    <w:rsid w:val="00D57D30"/>
    <w:rsid w:val="00D7332A"/>
    <w:rsid w:val="00D844B2"/>
    <w:rsid w:val="00D87258"/>
    <w:rsid w:val="00D96DDF"/>
    <w:rsid w:val="00DA07CA"/>
    <w:rsid w:val="00DA0FD7"/>
    <w:rsid w:val="00DB099B"/>
    <w:rsid w:val="00DB7248"/>
    <w:rsid w:val="00DD0C4D"/>
    <w:rsid w:val="00DE1A4A"/>
    <w:rsid w:val="00DE3706"/>
    <w:rsid w:val="00DE5909"/>
    <w:rsid w:val="00DE7652"/>
    <w:rsid w:val="00DF5ED9"/>
    <w:rsid w:val="00E026E0"/>
    <w:rsid w:val="00E046B3"/>
    <w:rsid w:val="00E062B8"/>
    <w:rsid w:val="00E31486"/>
    <w:rsid w:val="00E347E9"/>
    <w:rsid w:val="00E40301"/>
    <w:rsid w:val="00E4493B"/>
    <w:rsid w:val="00E45724"/>
    <w:rsid w:val="00E45886"/>
    <w:rsid w:val="00E60826"/>
    <w:rsid w:val="00E63F35"/>
    <w:rsid w:val="00E642BD"/>
    <w:rsid w:val="00E64AD3"/>
    <w:rsid w:val="00E80CFF"/>
    <w:rsid w:val="00E940DC"/>
    <w:rsid w:val="00E94A62"/>
    <w:rsid w:val="00EB211C"/>
    <w:rsid w:val="00EB65C0"/>
    <w:rsid w:val="00EC03B6"/>
    <w:rsid w:val="00ED47C2"/>
    <w:rsid w:val="00ED5CCF"/>
    <w:rsid w:val="00ED760E"/>
    <w:rsid w:val="00ED7EAB"/>
    <w:rsid w:val="00EF06BE"/>
    <w:rsid w:val="00EF1CB2"/>
    <w:rsid w:val="00EF57CD"/>
    <w:rsid w:val="00F20699"/>
    <w:rsid w:val="00F257CE"/>
    <w:rsid w:val="00F35BE5"/>
    <w:rsid w:val="00F378C4"/>
    <w:rsid w:val="00F43BA1"/>
    <w:rsid w:val="00F468D1"/>
    <w:rsid w:val="00F62922"/>
    <w:rsid w:val="00F63C99"/>
    <w:rsid w:val="00F64DDA"/>
    <w:rsid w:val="00F71A2A"/>
    <w:rsid w:val="00F7461E"/>
    <w:rsid w:val="00F84528"/>
    <w:rsid w:val="00F8489A"/>
    <w:rsid w:val="00F84D66"/>
    <w:rsid w:val="00F93AF8"/>
    <w:rsid w:val="00F96D0F"/>
    <w:rsid w:val="00F96D5C"/>
    <w:rsid w:val="00FA5A4C"/>
    <w:rsid w:val="00FA6078"/>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paragraph" w:customStyle="1" w:styleId="EndNoteBibliographyTitle">
    <w:name w:val="EndNote Bibliography Title"/>
    <w:basedOn w:val="Normal"/>
    <w:link w:val="EndNoteBibliographyTitleChar"/>
    <w:rsid w:val="00026777"/>
    <w:pPr>
      <w:jc w:val="center"/>
    </w:pPr>
    <w:rPr>
      <w:noProof/>
    </w:rPr>
  </w:style>
  <w:style w:type="character" w:customStyle="1" w:styleId="EndNoteBibliographyTitleChar">
    <w:name w:val="EndNote Bibliography Title Char"/>
    <w:basedOn w:val="DefaultParagraphFont"/>
    <w:link w:val="EndNoteBibliographyTitle"/>
    <w:rsid w:val="00026777"/>
    <w:rPr>
      <w:noProof/>
      <w:sz w:val="24"/>
      <w:szCs w:val="24"/>
    </w:rPr>
  </w:style>
  <w:style w:type="paragraph" w:customStyle="1" w:styleId="EndNoteBibliography">
    <w:name w:val="EndNote Bibliography"/>
    <w:basedOn w:val="Normal"/>
    <w:link w:val="EndNoteBibliographyChar"/>
    <w:rsid w:val="00026777"/>
    <w:pPr>
      <w:jc w:val="center"/>
    </w:pPr>
    <w:rPr>
      <w:noProof/>
    </w:rPr>
  </w:style>
  <w:style w:type="character" w:customStyle="1" w:styleId="EndNoteBibliographyChar">
    <w:name w:val="EndNote Bibliography Char"/>
    <w:basedOn w:val="DefaultParagraphFont"/>
    <w:link w:val="EndNoteBibliography"/>
    <w:rsid w:val="00026777"/>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7933">
      <w:bodyDiv w:val="1"/>
      <w:marLeft w:val="0"/>
      <w:marRight w:val="0"/>
      <w:marTop w:val="0"/>
      <w:marBottom w:val="0"/>
      <w:divBdr>
        <w:top w:val="none" w:sz="0" w:space="0" w:color="auto"/>
        <w:left w:val="none" w:sz="0" w:space="0" w:color="auto"/>
        <w:bottom w:val="none" w:sz="0" w:space="0" w:color="auto"/>
        <w:right w:val="none" w:sz="0" w:space="0" w:color="auto"/>
      </w:divBdr>
      <w:divsChild>
        <w:div w:id="1534734878">
          <w:marLeft w:val="0"/>
          <w:marRight w:val="0"/>
          <w:marTop w:val="0"/>
          <w:marBottom w:val="0"/>
          <w:divBdr>
            <w:top w:val="none" w:sz="0" w:space="0" w:color="auto"/>
            <w:left w:val="none" w:sz="0" w:space="0" w:color="auto"/>
            <w:bottom w:val="none" w:sz="0" w:space="0" w:color="auto"/>
            <w:right w:val="none" w:sz="0" w:space="0" w:color="auto"/>
          </w:divBdr>
          <w:divsChild>
            <w:div w:id="1590583762">
              <w:marLeft w:val="0"/>
              <w:marRight w:val="0"/>
              <w:marTop w:val="0"/>
              <w:marBottom w:val="0"/>
              <w:divBdr>
                <w:top w:val="none" w:sz="0" w:space="0" w:color="auto"/>
                <w:left w:val="none" w:sz="0" w:space="0" w:color="auto"/>
                <w:bottom w:val="none" w:sz="0" w:space="0" w:color="auto"/>
                <w:right w:val="none" w:sz="0" w:space="0" w:color="auto"/>
              </w:divBdr>
              <w:divsChild>
                <w:div w:id="1056204780">
                  <w:marLeft w:val="0"/>
                  <w:marRight w:val="0"/>
                  <w:marTop w:val="0"/>
                  <w:marBottom w:val="0"/>
                  <w:divBdr>
                    <w:top w:val="none" w:sz="0" w:space="0" w:color="auto"/>
                    <w:left w:val="none" w:sz="0" w:space="0" w:color="auto"/>
                    <w:bottom w:val="none" w:sz="0" w:space="0" w:color="auto"/>
                    <w:right w:val="none" w:sz="0" w:space="0" w:color="auto"/>
                  </w:divBdr>
                  <w:divsChild>
                    <w:div w:id="578368651">
                      <w:marLeft w:val="0"/>
                      <w:marRight w:val="0"/>
                      <w:marTop w:val="0"/>
                      <w:marBottom w:val="0"/>
                      <w:divBdr>
                        <w:top w:val="none" w:sz="0" w:space="0" w:color="auto"/>
                        <w:left w:val="none" w:sz="0" w:space="0" w:color="auto"/>
                        <w:bottom w:val="none" w:sz="0" w:space="0" w:color="auto"/>
                        <w:right w:val="none" w:sz="0" w:space="0" w:color="auto"/>
                      </w:divBdr>
                      <w:divsChild>
                        <w:div w:id="1483084582">
                          <w:marLeft w:val="0"/>
                          <w:marRight w:val="0"/>
                          <w:marTop w:val="0"/>
                          <w:marBottom w:val="0"/>
                          <w:divBdr>
                            <w:top w:val="none" w:sz="0" w:space="0" w:color="auto"/>
                            <w:left w:val="none" w:sz="0" w:space="0" w:color="auto"/>
                            <w:bottom w:val="none" w:sz="0" w:space="0" w:color="auto"/>
                            <w:right w:val="none" w:sz="0" w:space="0" w:color="auto"/>
                          </w:divBdr>
                          <w:divsChild>
                            <w:div w:id="947196861">
                              <w:marLeft w:val="0"/>
                              <w:marRight w:val="0"/>
                              <w:marTop w:val="0"/>
                              <w:marBottom w:val="0"/>
                              <w:divBdr>
                                <w:top w:val="none" w:sz="0" w:space="0" w:color="auto"/>
                                <w:left w:val="none" w:sz="0" w:space="0" w:color="auto"/>
                                <w:bottom w:val="none" w:sz="0" w:space="0" w:color="auto"/>
                                <w:right w:val="none" w:sz="0" w:space="0" w:color="auto"/>
                              </w:divBdr>
                              <w:divsChild>
                                <w:div w:id="721708384">
                                  <w:marLeft w:val="0"/>
                                  <w:marRight w:val="0"/>
                                  <w:marTop w:val="0"/>
                                  <w:marBottom w:val="0"/>
                                  <w:divBdr>
                                    <w:top w:val="none" w:sz="0" w:space="0" w:color="auto"/>
                                    <w:left w:val="none" w:sz="0" w:space="0" w:color="auto"/>
                                    <w:bottom w:val="none" w:sz="0" w:space="0" w:color="auto"/>
                                    <w:right w:val="none" w:sz="0" w:space="0" w:color="auto"/>
                                  </w:divBdr>
                                  <w:divsChild>
                                    <w:div w:id="930045336">
                                      <w:marLeft w:val="0"/>
                                      <w:marRight w:val="0"/>
                                      <w:marTop w:val="0"/>
                                      <w:marBottom w:val="0"/>
                                      <w:divBdr>
                                        <w:top w:val="none" w:sz="0" w:space="0" w:color="auto"/>
                                        <w:left w:val="none" w:sz="0" w:space="0" w:color="auto"/>
                                        <w:bottom w:val="none" w:sz="0" w:space="0" w:color="auto"/>
                                        <w:right w:val="none" w:sz="0" w:space="0" w:color="auto"/>
                                      </w:divBdr>
                                      <w:divsChild>
                                        <w:div w:id="2048988823">
                                          <w:marLeft w:val="0"/>
                                          <w:marRight w:val="0"/>
                                          <w:marTop w:val="0"/>
                                          <w:marBottom w:val="0"/>
                                          <w:divBdr>
                                            <w:top w:val="none" w:sz="0" w:space="0" w:color="auto"/>
                                            <w:left w:val="none" w:sz="0" w:space="0" w:color="auto"/>
                                            <w:bottom w:val="none" w:sz="0" w:space="0" w:color="auto"/>
                                            <w:right w:val="none" w:sz="0" w:space="0" w:color="auto"/>
                                          </w:divBdr>
                                          <w:divsChild>
                                            <w:div w:id="1913662934">
                                              <w:marLeft w:val="0"/>
                                              <w:marRight w:val="0"/>
                                              <w:marTop w:val="0"/>
                                              <w:marBottom w:val="0"/>
                                              <w:divBdr>
                                                <w:top w:val="none" w:sz="0" w:space="0" w:color="auto"/>
                                                <w:left w:val="none" w:sz="0" w:space="0" w:color="auto"/>
                                                <w:bottom w:val="none" w:sz="0" w:space="0" w:color="auto"/>
                                                <w:right w:val="none" w:sz="0" w:space="0" w:color="auto"/>
                                              </w:divBdr>
                                              <w:divsChild>
                                                <w:div w:id="1027482633">
                                                  <w:marLeft w:val="0"/>
                                                  <w:marRight w:val="0"/>
                                                  <w:marTop w:val="0"/>
                                                  <w:marBottom w:val="0"/>
                                                  <w:divBdr>
                                                    <w:top w:val="none" w:sz="0" w:space="0" w:color="auto"/>
                                                    <w:left w:val="none" w:sz="0" w:space="0" w:color="auto"/>
                                                    <w:bottom w:val="none" w:sz="0" w:space="0" w:color="auto"/>
                                                    <w:right w:val="none" w:sz="0" w:space="0" w:color="auto"/>
                                                  </w:divBdr>
                                                  <w:divsChild>
                                                    <w:div w:id="1997569001">
                                                      <w:marLeft w:val="0"/>
                                                      <w:marRight w:val="0"/>
                                                      <w:marTop w:val="0"/>
                                                      <w:marBottom w:val="0"/>
                                                      <w:divBdr>
                                                        <w:top w:val="none" w:sz="0" w:space="0" w:color="auto"/>
                                                        <w:left w:val="none" w:sz="0" w:space="0" w:color="auto"/>
                                                        <w:bottom w:val="none" w:sz="0" w:space="0" w:color="auto"/>
                                                        <w:right w:val="none" w:sz="0" w:space="0" w:color="auto"/>
                                                      </w:divBdr>
                                                      <w:divsChild>
                                                        <w:div w:id="14767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917699">
          <w:marLeft w:val="0"/>
          <w:marRight w:val="0"/>
          <w:marTop w:val="0"/>
          <w:marBottom w:val="0"/>
          <w:divBdr>
            <w:top w:val="none" w:sz="0" w:space="0" w:color="auto"/>
            <w:left w:val="none" w:sz="0" w:space="0" w:color="auto"/>
            <w:bottom w:val="none" w:sz="0" w:space="0" w:color="auto"/>
            <w:right w:val="none" w:sz="0" w:space="0" w:color="auto"/>
          </w:divBdr>
          <w:divsChild>
            <w:div w:id="1529298492">
              <w:marLeft w:val="0"/>
              <w:marRight w:val="0"/>
              <w:marTop w:val="0"/>
              <w:marBottom w:val="0"/>
              <w:divBdr>
                <w:top w:val="none" w:sz="0" w:space="0" w:color="auto"/>
                <w:left w:val="none" w:sz="0" w:space="0" w:color="auto"/>
                <w:bottom w:val="none" w:sz="0" w:space="0" w:color="auto"/>
                <w:right w:val="none" w:sz="0" w:space="0" w:color="auto"/>
              </w:divBdr>
              <w:divsChild>
                <w:div w:id="1864511233">
                  <w:marLeft w:val="0"/>
                  <w:marRight w:val="0"/>
                  <w:marTop w:val="0"/>
                  <w:marBottom w:val="0"/>
                  <w:divBdr>
                    <w:top w:val="none" w:sz="0" w:space="0" w:color="auto"/>
                    <w:left w:val="none" w:sz="0" w:space="0" w:color="auto"/>
                    <w:bottom w:val="none" w:sz="0" w:space="0" w:color="auto"/>
                    <w:right w:val="none" w:sz="0" w:space="0" w:color="auto"/>
                  </w:divBdr>
                  <w:divsChild>
                    <w:div w:id="9918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7416">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468476314">
      <w:bodyDiv w:val="1"/>
      <w:marLeft w:val="0"/>
      <w:marRight w:val="0"/>
      <w:marTop w:val="0"/>
      <w:marBottom w:val="0"/>
      <w:divBdr>
        <w:top w:val="none" w:sz="0" w:space="0" w:color="auto"/>
        <w:left w:val="none" w:sz="0" w:space="0" w:color="auto"/>
        <w:bottom w:val="none" w:sz="0" w:space="0" w:color="auto"/>
        <w:right w:val="none" w:sz="0" w:space="0" w:color="auto"/>
      </w:divBdr>
    </w:div>
    <w:div w:id="469174864">
      <w:bodyDiv w:val="1"/>
      <w:marLeft w:val="0"/>
      <w:marRight w:val="0"/>
      <w:marTop w:val="0"/>
      <w:marBottom w:val="0"/>
      <w:divBdr>
        <w:top w:val="none" w:sz="0" w:space="0" w:color="auto"/>
        <w:left w:val="none" w:sz="0" w:space="0" w:color="auto"/>
        <w:bottom w:val="none" w:sz="0" w:space="0" w:color="auto"/>
        <w:right w:val="none" w:sz="0" w:space="0" w:color="auto"/>
      </w:divBdr>
    </w:div>
    <w:div w:id="474179886">
      <w:bodyDiv w:val="1"/>
      <w:marLeft w:val="0"/>
      <w:marRight w:val="0"/>
      <w:marTop w:val="0"/>
      <w:marBottom w:val="0"/>
      <w:divBdr>
        <w:top w:val="none" w:sz="0" w:space="0" w:color="auto"/>
        <w:left w:val="none" w:sz="0" w:space="0" w:color="auto"/>
        <w:bottom w:val="none" w:sz="0" w:space="0" w:color="auto"/>
        <w:right w:val="none" w:sz="0" w:space="0" w:color="auto"/>
      </w:divBdr>
    </w:div>
    <w:div w:id="483859873">
      <w:bodyDiv w:val="1"/>
      <w:marLeft w:val="0"/>
      <w:marRight w:val="0"/>
      <w:marTop w:val="0"/>
      <w:marBottom w:val="0"/>
      <w:divBdr>
        <w:top w:val="none" w:sz="0" w:space="0" w:color="auto"/>
        <w:left w:val="none" w:sz="0" w:space="0" w:color="auto"/>
        <w:bottom w:val="none" w:sz="0" w:space="0" w:color="auto"/>
        <w:right w:val="none" w:sz="0" w:space="0" w:color="auto"/>
      </w:divBdr>
    </w:div>
    <w:div w:id="565651843">
      <w:bodyDiv w:val="1"/>
      <w:marLeft w:val="0"/>
      <w:marRight w:val="0"/>
      <w:marTop w:val="0"/>
      <w:marBottom w:val="0"/>
      <w:divBdr>
        <w:top w:val="none" w:sz="0" w:space="0" w:color="auto"/>
        <w:left w:val="none" w:sz="0" w:space="0" w:color="auto"/>
        <w:bottom w:val="none" w:sz="0" w:space="0" w:color="auto"/>
        <w:right w:val="none" w:sz="0" w:space="0" w:color="auto"/>
      </w:divBdr>
    </w:div>
    <w:div w:id="585504496">
      <w:bodyDiv w:val="1"/>
      <w:marLeft w:val="0"/>
      <w:marRight w:val="0"/>
      <w:marTop w:val="0"/>
      <w:marBottom w:val="0"/>
      <w:divBdr>
        <w:top w:val="none" w:sz="0" w:space="0" w:color="auto"/>
        <w:left w:val="none" w:sz="0" w:space="0" w:color="auto"/>
        <w:bottom w:val="none" w:sz="0" w:space="0" w:color="auto"/>
        <w:right w:val="none" w:sz="0" w:space="0" w:color="auto"/>
      </w:divBdr>
    </w:div>
    <w:div w:id="646395825">
      <w:bodyDiv w:val="1"/>
      <w:marLeft w:val="0"/>
      <w:marRight w:val="0"/>
      <w:marTop w:val="0"/>
      <w:marBottom w:val="0"/>
      <w:divBdr>
        <w:top w:val="none" w:sz="0" w:space="0" w:color="auto"/>
        <w:left w:val="none" w:sz="0" w:space="0" w:color="auto"/>
        <w:bottom w:val="none" w:sz="0" w:space="0" w:color="auto"/>
        <w:right w:val="none" w:sz="0" w:space="0" w:color="auto"/>
      </w:divBdr>
    </w:div>
    <w:div w:id="708066723">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68162332">
      <w:bodyDiv w:val="1"/>
      <w:marLeft w:val="0"/>
      <w:marRight w:val="0"/>
      <w:marTop w:val="0"/>
      <w:marBottom w:val="0"/>
      <w:divBdr>
        <w:top w:val="none" w:sz="0" w:space="0" w:color="auto"/>
        <w:left w:val="none" w:sz="0" w:space="0" w:color="auto"/>
        <w:bottom w:val="none" w:sz="0" w:space="0" w:color="auto"/>
        <w:right w:val="none" w:sz="0" w:space="0" w:color="auto"/>
      </w:divBdr>
    </w:div>
    <w:div w:id="1262031983">
      <w:bodyDiv w:val="1"/>
      <w:marLeft w:val="0"/>
      <w:marRight w:val="0"/>
      <w:marTop w:val="0"/>
      <w:marBottom w:val="0"/>
      <w:divBdr>
        <w:top w:val="none" w:sz="0" w:space="0" w:color="auto"/>
        <w:left w:val="none" w:sz="0" w:space="0" w:color="auto"/>
        <w:bottom w:val="none" w:sz="0" w:space="0" w:color="auto"/>
        <w:right w:val="none" w:sz="0" w:space="0" w:color="auto"/>
      </w:divBdr>
    </w:div>
    <w:div w:id="1267739409">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12003152">
      <w:bodyDiv w:val="1"/>
      <w:marLeft w:val="0"/>
      <w:marRight w:val="0"/>
      <w:marTop w:val="0"/>
      <w:marBottom w:val="0"/>
      <w:divBdr>
        <w:top w:val="none" w:sz="0" w:space="0" w:color="auto"/>
        <w:left w:val="none" w:sz="0" w:space="0" w:color="auto"/>
        <w:bottom w:val="none" w:sz="0" w:space="0" w:color="auto"/>
        <w:right w:val="none" w:sz="0" w:space="0" w:color="auto"/>
      </w:divBdr>
      <w:divsChild>
        <w:div w:id="1896114201">
          <w:marLeft w:val="0"/>
          <w:marRight w:val="0"/>
          <w:marTop w:val="0"/>
          <w:marBottom w:val="0"/>
          <w:divBdr>
            <w:top w:val="none" w:sz="0" w:space="0" w:color="auto"/>
            <w:left w:val="none" w:sz="0" w:space="0" w:color="auto"/>
            <w:bottom w:val="none" w:sz="0" w:space="0" w:color="auto"/>
            <w:right w:val="none" w:sz="0" w:space="0" w:color="auto"/>
          </w:divBdr>
          <w:divsChild>
            <w:div w:id="2039087747">
              <w:marLeft w:val="0"/>
              <w:marRight w:val="0"/>
              <w:marTop w:val="0"/>
              <w:marBottom w:val="0"/>
              <w:divBdr>
                <w:top w:val="none" w:sz="0" w:space="0" w:color="auto"/>
                <w:left w:val="none" w:sz="0" w:space="0" w:color="auto"/>
                <w:bottom w:val="none" w:sz="0" w:space="0" w:color="auto"/>
                <w:right w:val="none" w:sz="0" w:space="0" w:color="auto"/>
              </w:divBdr>
              <w:divsChild>
                <w:div w:id="746194257">
                  <w:marLeft w:val="0"/>
                  <w:marRight w:val="0"/>
                  <w:marTop w:val="0"/>
                  <w:marBottom w:val="0"/>
                  <w:divBdr>
                    <w:top w:val="none" w:sz="0" w:space="0" w:color="auto"/>
                    <w:left w:val="none" w:sz="0" w:space="0" w:color="auto"/>
                    <w:bottom w:val="none" w:sz="0" w:space="0" w:color="auto"/>
                    <w:right w:val="none" w:sz="0" w:space="0" w:color="auto"/>
                  </w:divBdr>
                  <w:divsChild>
                    <w:div w:id="378940777">
                      <w:marLeft w:val="0"/>
                      <w:marRight w:val="0"/>
                      <w:marTop w:val="0"/>
                      <w:marBottom w:val="0"/>
                      <w:divBdr>
                        <w:top w:val="none" w:sz="0" w:space="0" w:color="auto"/>
                        <w:left w:val="none" w:sz="0" w:space="0" w:color="auto"/>
                        <w:bottom w:val="none" w:sz="0" w:space="0" w:color="auto"/>
                        <w:right w:val="none" w:sz="0" w:space="0" w:color="auto"/>
                      </w:divBdr>
                      <w:divsChild>
                        <w:div w:id="522523993">
                          <w:marLeft w:val="0"/>
                          <w:marRight w:val="0"/>
                          <w:marTop w:val="0"/>
                          <w:marBottom w:val="0"/>
                          <w:divBdr>
                            <w:top w:val="none" w:sz="0" w:space="0" w:color="auto"/>
                            <w:left w:val="none" w:sz="0" w:space="0" w:color="auto"/>
                            <w:bottom w:val="none" w:sz="0" w:space="0" w:color="auto"/>
                            <w:right w:val="none" w:sz="0" w:space="0" w:color="auto"/>
                          </w:divBdr>
                          <w:divsChild>
                            <w:div w:id="206336502">
                              <w:marLeft w:val="0"/>
                              <w:marRight w:val="0"/>
                              <w:marTop w:val="0"/>
                              <w:marBottom w:val="0"/>
                              <w:divBdr>
                                <w:top w:val="none" w:sz="0" w:space="0" w:color="auto"/>
                                <w:left w:val="none" w:sz="0" w:space="0" w:color="auto"/>
                                <w:bottom w:val="none" w:sz="0" w:space="0" w:color="auto"/>
                                <w:right w:val="none" w:sz="0" w:space="0" w:color="auto"/>
                              </w:divBdr>
                              <w:divsChild>
                                <w:div w:id="1386221586">
                                  <w:marLeft w:val="0"/>
                                  <w:marRight w:val="0"/>
                                  <w:marTop w:val="0"/>
                                  <w:marBottom w:val="0"/>
                                  <w:divBdr>
                                    <w:top w:val="none" w:sz="0" w:space="0" w:color="auto"/>
                                    <w:left w:val="none" w:sz="0" w:space="0" w:color="auto"/>
                                    <w:bottom w:val="none" w:sz="0" w:space="0" w:color="auto"/>
                                    <w:right w:val="none" w:sz="0" w:space="0" w:color="auto"/>
                                  </w:divBdr>
                                  <w:divsChild>
                                    <w:div w:id="1670019042">
                                      <w:marLeft w:val="0"/>
                                      <w:marRight w:val="0"/>
                                      <w:marTop w:val="0"/>
                                      <w:marBottom w:val="0"/>
                                      <w:divBdr>
                                        <w:top w:val="none" w:sz="0" w:space="0" w:color="auto"/>
                                        <w:left w:val="none" w:sz="0" w:space="0" w:color="auto"/>
                                        <w:bottom w:val="none" w:sz="0" w:space="0" w:color="auto"/>
                                        <w:right w:val="none" w:sz="0" w:space="0" w:color="auto"/>
                                      </w:divBdr>
                                      <w:divsChild>
                                        <w:div w:id="421995151">
                                          <w:marLeft w:val="0"/>
                                          <w:marRight w:val="0"/>
                                          <w:marTop w:val="0"/>
                                          <w:marBottom w:val="0"/>
                                          <w:divBdr>
                                            <w:top w:val="none" w:sz="0" w:space="0" w:color="auto"/>
                                            <w:left w:val="none" w:sz="0" w:space="0" w:color="auto"/>
                                            <w:bottom w:val="none" w:sz="0" w:space="0" w:color="auto"/>
                                            <w:right w:val="none" w:sz="0" w:space="0" w:color="auto"/>
                                          </w:divBdr>
                                          <w:divsChild>
                                            <w:div w:id="846142230">
                                              <w:marLeft w:val="0"/>
                                              <w:marRight w:val="0"/>
                                              <w:marTop w:val="0"/>
                                              <w:marBottom w:val="0"/>
                                              <w:divBdr>
                                                <w:top w:val="none" w:sz="0" w:space="0" w:color="auto"/>
                                                <w:left w:val="none" w:sz="0" w:space="0" w:color="auto"/>
                                                <w:bottom w:val="none" w:sz="0" w:space="0" w:color="auto"/>
                                                <w:right w:val="none" w:sz="0" w:space="0" w:color="auto"/>
                                              </w:divBdr>
                                              <w:divsChild>
                                                <w:div w:id="464811324">
                                                  <w:marLeft w:val="0"/>
                                                  <w:marRight w:val="0"/>
                                                  <w:marTop w:val="0"/>
                                                  <w:marBottom w:val="0"/>
                                                  <w:divBdr>
                                                    <w:top w:val="none" w:sz="0" w:space="0" w:color="auto"/>
                                                    <w:left w:val="none" w:sz="0" w:space="0" w:color="auto"/>
                                                    <w:bottom w:val="none" w:sz="0" w:space="0" w:color="auto"/>
                                                    <w:right w:val="none" w:sz="0" w:space="0" w:color="auto"/>
                                                  </w:divBdr>
                                                  <w:divsChild>
                                                    <w:div w:id="257448376">
                                                      <w:marLeft w:val="0"/>
                                                      <w:marRight w:val="0"/>
                                                      <w:marTop w:val="0"/>
                                                      <w:marBottom w:val="0"/>
                                                      <w:divBdr>
                                                        <w:top w:val="none" w:sz="0" w:space="0" w:color="auto"/>
                                                        <w:left w:val="none" w:sz="0" w:space="0" w:color="auto"/>
                                                        <w:bottom w:val="none" w:sz="0" w:space="0" w:color="auto"/>
                                                        <w:right w:val="none" w:sz="0" w:space="0" w:color="auto"/>
                                                      </w:divBdr>
                                                      <w:divsChild>
                                                        <w:div w:id="5592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220722">
          <w:marLeft w:val="0"/>
          <w:marRight w:val="0"/>
          <w:marTop w:val="0"/>
          <w:marBottom w:val="0"/>
          <w:divBdr>
            <w:top w:val="none" w:sz="0" w:space="0" w:color="auto"/>
            <w:left w:val="none" w:sz="0" w:space="0" w:color="auto"/>
            <w:bottom w:val="none" w:sz="0" w:space="0" w:color="auto"/>
            <w:right w:val="none" w:sz="0" w:space="0" w:color="auto"/>
          </w:divBdr>
          <w:divsChild>
            <w:div w:id="157965033">
              <w:marLeft w:val="0"/>
              <w:marRight w:val="0"/>
              <w:marTop w:val="0"/>
              <w:marBottom w:val="0"/>
              <w:divBdr>
                <w:top w:val="none" w:sz="0" w:space="0" w:color="auto"/>
                <w:left w:val="none" w:sz="0" w:space="0" w:color="auto"/>
                <w:bottom w:val="none" w:sz="0" w:space="0" w:color="auto"/>
                <w:right w:val="none" w:sz="0" w:space="0" w:color="auto"/>
              </w:divBdr>
              <w:divsChild>
                <w:div w:id="1064530278">
                  <w:marLeft w:val="0"/>
                  <w:marRight w:val="0"/>
                  <w:marTop w:val="0"/>
                  <w:marBottom w:val="0"/>
                  <w:divBdr>
                    <w:top w:val="none" w:sz="0" w:space="0" w:color="auto"/>
                    <w:left w:val="none" w:sz="0" w:space="0" w:color="auto"/>
                    <w:bottom w:val="none" w:sz="0" w:space="0" w:color="auto"/>
                    <w:right w:val="none" w:sz="0" w:space="0" w:color="auto"/>
                  </w:divBdr>
                  <w:divsChild>
                    <w:div w:id="5981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13680">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42009757">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65431584">
      <w:bodyDiv w:val="1"/>
      <w:marLeft w:val="0"/>
      <w:marRight w:val="0"/>
      <w:marTop w:val="0"/>
      <w:marBottom w:val="0"/>
      <w:divBdr>
        <w:top w:val="none" w:sz="0" w:space="0" w:color="auto"/>
        <w:left w:val="none" w:sz="0" w:space="0" w:color="auto"/>
        <w:bottom w:val="none" w:sz="0" w:space="0" w:color="auto"/>
        <w:right w:val="none" w:sz="0" w:space="0" w:color="auto"/>
      </w:divBdr>
    </w:div>
    <w:div w:id="1671254125">
      <w:bodyDiv w:val="1"/>
      <w:marLeft w:val="0"/>
      <w:marRight w:val="0"/>
      <w:marTop w:val="0"/>
      <w:marBottom w:val="0"/>
      <w:divBdr>
        <w:top w:val="none" w:sz="0" w:space="0" w:color="auto"/>
        <w:left w:val="none" w:sz="0" w:space="0" w:color="auto"/>
        <w:bottom w:val="none" w:sz="0" w:space="0" w:color="auto"/>
        <w:right w:val="none" w:sz="0" w:space="0" w:color="auto"/>
      </w:divBdr>
    </w:div>
    <w:div w:id="1798596000">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31562419">
      <w:bodyDiv w:val="1"/>
      <w:marLeft w:val="0"/>
      <w:marRight w:val="0"/>
      <w:marTop w:val="0"/>
      <w:marBottom w:val="0"/>
      <w:divBdr>
        <w:top w:val="none" w:sz="0" w:space="0" w:color="auto"/>
        <w:left w:val="none" w:sz="0" w:space="0" w:color="auto"/>
        <w:bottom w:val="none" w:sz="0" w:space="0" w:color="auto"/>
        <w:right w:val="none" w:sz="0" w:space="0" w:color="auto"/>
      </w:divBdr>
    </w:div>
    <w:div w:id="1846549651">
      <w:bodyDiv w:val="1"/>
      <w:marLeft w:val="0"/>
      <w:marRight w:val="0"/>
      <w:marTop w:val="0"/>
      <w:marBottom w:val="0"/>
      <w:divBdr>
        <w:top w:val="none" w:sz="0" w:space="0" w:color="auto"/>
        <w:left w:val="none" w:sz="0" w:space="0" w:color="auto"/>
        <w:bottom w:val="none" w:sz="0" w:space="0" w:color="auto"/>
        <w:right w:val="none" w:sz="0" w:space="0" w:color="auto"/>
      </w:divBdr>
    </w:div>
    <w:div w:id="1903560090">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GCT/key-statist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countingtools.com/articles/stockholders-equit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pireapp.com/blog/what-do-retained-earnings-mean-in-accounting" TargetMode="External"/><Relationship Id="rId4" Type="http://schemas.openxmlformats.org/officeDocument/2006/relationships/webSettings" Target="webSettings.xml"/><Relationship Id="rId9" Type="http://schemas.openxmlformats.org/officeDocument/2006/relationships/hyperlink" Target="https://investors.gigacloudtech.com/static-files/f5ec0a6a-4af6-42c0-9f2e-f9907a29c07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3199</Words>
  <Characters>18239</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2025-01-27T23:59:00Z</dcterms:created>
  <dcterms:modified xsi:type="dcterms:W3CDTF">2025-02-11T18:06:00Z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2025-02-08T16:19:21Z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e4c17908-c14d-44d8-b8eb-109f609a7e57</vt:lpwstr>
  </property>
  <property fmtid="{D5CDD505-2E9C-101B-9397-08002B2CF9AE}" pid="7" name="MSIP_Label_defa4170-0d19-0005-0004-bc88714345d2_ActionId">
    <vt:lpwstr>3b797a53-9325-4e3e-afce-19f302b0b31d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