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7DCD" w14:textId="77777777" w:rsidR="00F468D1" w:rsidRPr="007E1727" w:rsidRDefault="00F468D1" w:rsidP="00B224B6">
      <w:pPr>
        <w:spacing w:line="480" w:lineRule="auto"/>
        <w:ind w:firstLine="720"/>
        <w:jc w:val="center"/>
        <w:rPr>
          <w:b/>
          <w:bCs/>
        </w:rPr>
      </w:pPr>
    </w:p>
    <w:p w14:paraId="09AA434B" w14:textId="77777777" w:rsidR="00F468D1" w:rsidRPr="007E1727" w:rsidRDefault="00F468D1" w:rsidP="00B224B6">
      <w:pPr>
        <w:spacing w:line="480" w:lineRule="auto"/>
        <w:ind w:firstLine="720"/>
        <w:jc w:val="center"/>
        <w:rPr>
          <w:b/>
          <w:bCs/>
        </w:rPr>
      </w:pPr>
    </w:p>
    <w:p w14:paraId="466FA396" w14:textId="77777777" w:rsidR="00F468D1" w:rsidRPr="007E1727" w:rsidRDefault="00F468D1" w:rsidP="00B224B6">
      <w:pPr>
        <w:spacing w:line="480" w:lineRule="auto"/>
        <w:ind w:firstLine="720"/>
        <w:jc w:val="center"/>
        <w:rPr>
          <w:b/>
          <w:bCs/>
        </w:rPr>
      </w:pPr>
    </w:p>
    <w:p w14:paraId="0D8CF4B9" w14:textId="77777777" w:rsidR="00F468D1" w:rsidRPr="007E1727" w:rsidRDefault="00F468D1" w:rsidP="00B224B6">
      <w:pPr>
        <w:spacing w:line="480" w:lineRule="auto"/>
        <w:ind w:firstLine="720"/>
        <w:jc w:val="center"/>
        <w:rPr>
          <w:b/>
          <w:bCs/>
        </w:rPr>
      </w:pPr>
    </w:p>
    <w:p w14:paraId="253C824D" w14:textId="326E8712" w:rsidR="00286395" w:rsidRPr="007E1727" w:rsidRDefault="00ED7EAB" w:rsidP="00F378C4">
      <w:pPr>
        <w:spacing w:line="480" w:lineRule="auto"/>
        <w:jc w:val="center"/>
        <w:rPr>
          <w:b/>
          <w:bCs/>
        </w:rPr>
      </w:pPr>
      <w:r>
        <w:rPr>
          <w:b/>
          <w:bCs/>
        </w:rPr>
        <w:t>BUS50</w:t>
      </w:r>
      <w:r w:rsidR="007E1727" w:rsidRPr="007E1727">
        <w:rPr>
          <w:b/>
          <w:bCs/>
        </w:rPr>
        <w:t>0</w:t>
      </w:r>
      <w:r w:rsidR="003C7F15" w:rsidRPr="007E1727">
        <w:rPr>
          <w:b/>
          <w:bCs/>
        </w:rPr>
        <w:t xml:space="preserve"> </w:t>
      </w:r>
      <w:r w:rsidR="00352229" w:rsidRPr="007E1727">
        <w:rPr>
          <w:b/>
          <w:bCs/>
        </w:rPr>
        <w:t>Case</w:t>
      </w:r>
      <w:r w:rsidR="006624AB" w:rsidRPr="007E1727">
        <w:rPr>
          <w:b/>
          <w:bCs/>
        </w:rPr>
        <w:t xml:space="preserve"> </w:t>
      </w:r>
      <w:r w:rsidR="00635453">
        <w:rPr>
          <w:b/>
          <w:bCs/>
        </w:rPr>
        <w:t>2</w:t>
      </w:r>
    </w:p>
    <w:p w14:paraId="215330E4" w14:textId="77777777" w:rsidR="00286395" w:rsidRPr="007E1727" w:rsidRDefault="00286395" w:rsidP="00B224B6">
      <w:pPr>
        <w:spacing w:line="480" w:lineRule="auto"/>
        <w:ind w:firstLine="720"/>
        <w:jc w:val="center"/>
      </w:pPr>
    </w:p>
    <w:p w14:paraId="0C9670E1" w14:textId="77777777" w:rsidR="00454CAF" w:rsidRPr="007E1727" w:rsidRDefault="00454CAF" w:rsidP="00F378C4">
      <w:pPr>
        <w:spacing w:line="480" w:lineRule="auto"/>
        <w:jc w:val="center"/>
      </w:pPr>
      <w:r w:rsidRPr="007E1727">
        <w:t>Your Name</w:t>
      </w:r>
    </w:p>
    <w:p w14:paraId="02750D95" w14:textId="77777777" w:rsidR="00454CAF" w:rsidRPr="007E1727" w:rsidRDefault="00454CAF" w:rsidP="00F378C4">
      <w:pPr>
        <w:spacing w:line="480" w:lineRule="auto"/>
        <w:jc w:val="center"/>
      </w:pPr>
      <w:r w:rsidRPr="007E1727">
        <w:t xml:space="preserve">Trident University International </w:t>
      </w:r>
    </w:p>
    <w:p w14:paraId="70F9BBF2" w14:textId="70C02BAD" w:rsidR="007E1727" w:rsidRPr="007E1727" w:rsidRDefault="00ED7EAB" w:rsidP="00F378C4">
      <w:pPr>
        <w:spacing w:line="480" w:lineRule="auto"/>
        <w:jc w:val="center"/>
      </w:pPr>
      <w:r>
        <w:t>BUS5</w:t>
      </w:r>
      <w:r w:rsidR="007E1727" w:rsidRPr="007E1727">
        <w:t xml:space="preserve">00 </w:t>
      </w:r>
      <w:r>
        <w:t>Financial Intelligence</w:t>
      </w:r>
    </w:p>
    <w:p w14:paraId="54C389E1" w14:textId="7A086B20" w:rsidR="00844EE7" w:rsidRPr="007E1727" w:rsidRDefault="00454CAF" w:rsidP="00F378C4">
      <w:pPr>
        <w:spacing w:line="480" w:lineRule="auto"/>
        <w:jc w:val="center"/>
      </w:pPr>
      <w:r w:rsidRPr="007E1727">
        <w:t>Due Date</w:t>
      </w:r>
    </w:p>
    <w:p w14:paraId="6C8D5EF8" w14:textId="56D46919" w:rsidR="003C7F15" w:rsidRPr="007E1727" w:rsidRDefault="00352E8D" w:rsidP="003C7F15">
      <w:pPr>
        <w:spacing w:line="480" w:lineRule="auto"/>
        <w:jc w:val="center"/>
        <w:rPr>
          <w:b/>
          <w:bCs/>
        </w:rPr>
      </w:pPr>
      <w:r w:rsidRPr="007E1727">
        <w:br w:type="page"/>
      </w:r>
    </w:p>
    <w:p w14:paraId="1DF862F2" w14:textId="2BE3EAD2" w:rsidR="00D200BF" w:rsidRPr="007E1727" w:rsidRDefault="00ED7EAB" w:rsidP="00B224B6">
      <w:pPr>
        <w:spacing w:line="480" w:lineRule="auto"/>
        <w:jc w:val="center"/>
        <w:rPr>
          <w:b/>
          <w:bCs/>
        </w:rPr>
      </w:pPr>
      <w:r>
        <w:rPr>
          <w:b/>
          <w:bCs/>
        </w:rPr>
        <w:lastRenderedPageBreak/>
        <w:t>BUS500</w:t>
      </w:r>
      <w:r w:rsidR="003C7F15" w:rsidRPr="007E1727">
        <w:rPr>
          <w:b/>
          <w:bCs/>
        </w:rPr>
        <w:t xml:space="preserve"> </w:t>
      </w:r>
      <w:r w:rsidR="00352229" w:rsidRPr="007E1727">
        <w:rPr>
          <w:b/>
          <w:bCs/>
        </w:rPr>
        <w:t>Case</w:t>
      </w:r>
      <w:r w:rsidR="006624AB" w:rsidRPr="007E1727">
        <w:rPr>
          <w:b/>
          <w:bCs/>
        </w:rPr>
        <w:t xml:space="preserve"> </w:t>
      </w:r>
      <w:r w:rsidR="00635453">
        <w:rPr>
          <w:b/>
          <w:bCs/>
        </w:rPr>
        <w:t>2</w:t>
      </w:r>
    </w:p>
    <w:p w14:paraId="16B93B5E" w14:textId="38EE50E7" w:rsidR="00302BC5" w:rsidRPr="004263C0" w:rsidRDefault="00612826" w:rsidP="004263C0">
      <w:pPr>
        <w:spacing w:line="480" w:lineRule="auto"/>
        <w:ind w:firstLine="720"/>
        <w:rPr>
          <w:lang w:val="en-PK"/>
        </w:rPr>
      </w:pPr>
      <w:r w:rsidRPr="00612826">
        <w:rPr>
          <w:lang w:val="en-PK"/>
        </w:rPr>
        <w:t>American businesses across industries rely on Data Processing &amp; Hosting Services to manage digital infrastructure. In response to rising data demands, cloud computing, AI, and cybersecurity advance. This analysis examines industry performance, competitive dynamics, and future outlook, highlighting growth drivers and challenges</w:t>
      </w:r>
      <w:r w:rsidR="004263C0" w:rsidRPr="004263C0">
        <w:rPr>
          <w:lang w:val="en-PK"/>
        </w:rPr>
        <w:t>.</w:t>
      </w:r>
    </w:p>
    <w:p w14:paraId="00D4CD8F" w14:textId="77777777" w:rsidR="00635453" w:rsidRPr="0066628E" w:rsidRDefault="00635453" w:rsidP="00635453">
      <w:pPr>
        <w:spacing w:line="480" w:lineRule="auto"/>
        <w:jc w:val="center"/>
        <w:rPr>
          <w:b/>
          <w:bCs/>
          <w:sz w:val="22"/>
        </w:rPr>
      </w:pPr>
      <w:r w:rsidRPr="0066628E">
        <w:rPr>
          <w:b/>
          <w:bCs/>
          <w:sz w:val="22"/>
        </w:rPr>
        <w:t>Background</w:t>
      </w:r>
    </w:p>
    <w:p w14:paraId="5493ED57" w14:textId="619C7837" w:rsidR="00612826" w:rsidRPr="00612826" w:rsidRDefault="00612826" w:rsidP="00612826">
      <w:pPr>
        <w:spacing w:line="480" w:lineRule="auto"/>
        <w:ind w:firstLine="720"/>
        <w:rPr>
          <w:color w:val="000000" w:themeColor="text1"/>
          <w:sz w:val="22"/>
          <w:lang w:val="en-PK"/>
        </w:rPr>
      </w:pPr>
      <w:r w:rsidRPr="00612826">
        <w:rPr>
          <w:color w:val="000000" w:themeColor="text1"/>
          <w:sz w:val="22"/>
          <w:lang w:val="en-PK"/>
        </w:rPr>
        <w:t>Businesses and individuals rely on the US Data Processing &amp; Hosting Services industry (NAICS 51821) to manage, process, and store massive amounts of digital data. This industry includes application hosting, data processing, database management, and web hosting. Companies in this sector improve operational efficiency across multiple industries with automated data entry, data analytics, and cloud-based solutions</w:t>
      </w:r>
      <w:r w:rsidR="004B6742">
        <w:rPr>
          <w:color w:val="000000" w:themeColor="text1"/>
          <w:sz w:val="22"/>
          <w:lang w:val="en-PK"/>
        </w:rPr>
        <w:t xml:space="preserve"> </w:t>
      </w:r>
      <w:r w:rsidR="004B6742">
        <w:rPr>
          <w:color w:val="000000" w:themeColor="text1"/>
          <w:sz w:val="22"/>
          <w:lang w:val="en-PK"/>
        </w:rPr>
        <w:fldChar w:fldCharType="begin"/>
      </w:r>
      <w:r w:rsidR="008610BF">
        <w:rPr>
          <w:color w:val="000000" w:themeColor="text1"/>
          <w:sz w:val="22"/>
          <w:lang w:val="en-PK"/>
        </w:rPr>
        <w:instrText xml:space="preserve"> ADDIN EN.CITE &lt;EndNote&gt;&lt;Cite&gt;&lt;Author&gt;Curtis&lt;/Author&gt;&lt;Year&gt;2024&lt;/Year&gt;&lt;RecNum&gt;2953&lt;/RecNum&gt;&lt;DisplayText&gt;(Curtis, 2024)&lt;/DisplayText&gt;&lt;record&gt;&lt;rec-number&gt;2953&lt;/rec-number&gt;&lt;foreign-keys&gt;&lt;key app="EN" db-id="zxrtwszvnew9f9e9p0vv0wfld5x2wxp9wzp5" timestamp="1739349097"&gt;2953&lt;/key&gt;&lt;/foreign-keys&gt;&lt;ref-type name="Report"&gt;27&lt;/ref-type&gt;&lt;contributors&gt;&lt;authors&gt;&lt;author&gt;William Curtis&lt;/author&gt;&lt;/authors&gt;&lt;tertiary-authors&gt;&lt;author&gt;IBISWorld&lt;/author&gt;&lt;/tertiary-authors&gt;&lt;/contributors&gt;&lt;titles&gt;&lt;title&gt;Data Processing &amp;amp; Hosting Services in the US&lt;/title&gt;&lt;/titles&gt;&lt;dates&gt;&lt;year&gt;2024&lt;/year&gt;&lt;/dates&gt;&lt;urls&gt;&lt;related-urls&gt;&lt;url&gt;https://my-ibisworld-com.trident.idm.oclc.org/us/en/industry/51821/at-a-glance&lt;/url&gt;&lt;/related-urls&gt;&lt;/urls&gt;&lt;/record&gt;&lt;/Cite&gt;&lt;/EndNote&gt;</w:instrText>
      </w:r>
      <w:r w:rsidR="004B6742">
        <w:rPr>
          <w:color w:val="000000" w:themeColor="text1"/>
          <w:sz w:val="22"/>
          <w:lang w:val="en-PK"/>
        </w:rPr>
        <w:fldChar w:fldCharType="separate"/>
      </w:r>
      <w:r w:rsidR="004B6742">
        <w:rPr>
          <w:noProof/>
          <w:color w:val="000000" w:themeColor="text1"/>
          <w:sz w:val="22"/>
          <w:lang w:val="en-PK"/>
        </w:rPr>
        <w:t>(Curtis, 2024)</w:t>
      </w:r>
      <w:r w:rsidR="004B6742">
        <w:rPr>
          <w:color w:val="000000" w:themeColor="text1"/>
          <w:sz w:val="22"/>
          <w:lang w:val="en-PK"/>
        </w:rPr>
        <w:fldChar w:fldCharType="end"/>
      </w:r>
      <w:r w:rsidRPr="00612826">
        <w:rPr>
          <w:color w:val="000000" w:themeColor="text1"/>
          <w:sz w:val="22"/>
          <w:lang w:val="en-PK"/>
        </w:rPr>
        <w:t>.</w:t>
      </w:r>
      <w:r>
        <w:rPr>
          <w:color w:val="000000" w:themeColor="text1"/>
          <w:sz w:val="22"/>
          <w:lang w:val="en-PK"/>
        </w:rPr>
        <w:t xml:space="preserve"> </w:t>
      </w:r>
      <w:r w:rsidRPr="00612826">
        <w:rPr>
          <w:color w:val="000000" w:themeColor="text1"/>
          <w:sz w:val="22"/>
          <w:lang w:val="en-PK"/>
        </w:rPr>
        <w:t>Cloud computing and digital infrastructure have changed the industry. Cloud-based solutions like SaaS and ASP are essential to modern business. Amazon.com, Salesforce.com, and IBM dominate the market by providing comprehensive data solutions to enterprises across industries.</w:t>
      </w:r>
    </w:p>
    <w:p w14:paraId="3C419FFF" w14:textId="13B38EAD" w:rsidR="00635453" w:rsidRPr="00EC617A" w:rsidRDefault="00612826" w:rsidP="00612826">
      <w:pPr>
        <w:spacing w:line="480" w:lineRule="auto"/>
        <w:ind w:firstLine="720"/>
        <w:rPr>
          <w:color w:val="000000" w:themeColor="text1"/>
          <w:sz w:val="22"/>
          <w:lang w:val="en-PK"/>
        </w:rPr>
      </w:pPr>
      <w:r w:rsidRPr="00612826">
        <w:rPr>
          <w:color w:val="000000" w:themeColor="text1"/>
          <w:sz w:val="22"/>
          <w:lang w:val="en-PK"/>
        </w:rPr>
        <w:t xml:space="preserve">Money Transferring, </w:t>
      </w:r>
      <w:r w:rsidR="00E42500" w:rsidRPr="00612826">
        <w:rPr>
          <w:color w:val="000000" w:themeColor="text1"/>
          <w:sz w:val="22"/>
          <w:lang w:val="en-PK"/>
        </w:rPr>
        <w:t>Accounting</w:t>
      </w:r>
      <w:r w:rsidR="00E42500">
        <w:rPr>
          <w:color w:val="000000" w:themeColor="text1"/>
          <w:sz w:val="22"/>
          <w:lang w:val="en-PK"/>
        </w:rPr>
        <w:t xml:space="preserve">, </w:t>
      </w:r>
      <w:r w:rsidRPr="00612826">
        <w:rPr>
          <w:color w:val="000000" w:themeColor="text1"/>
          <w:sz w:val="22"/>
          <w:lang w:val="en-PK"/>
        </w:rPr>
        <w:t xml:space="preserve">Payroll &amp; Bookkeeping, </w:t>
      </w:r>
      <w:r w:rsidR="00E42500" w:rsidRPr="00612826">
        <w:rPr>
          <w:color w:val="000000" w:themeColor="text1"/>
          <w:sz w:val="22"/>
          <w:lang w:val="en-PK"/>
        </w:rPr>
        <w:t>Credit Card Processing</w:t>
      </w:r>
      <w:r w:rsidRPr="00612826">
        <w:rPr>
          <w:color w:val="000000" w:themeColor="text1"/>
          <w:sz w:val="22"/>
          <w:lang w:val="en-PK"/>
        </w:rPr>
        <w:t>, Tax Preparation, and IT Consulting are complementary industries. Data processing and hosting providers handle secure transactions, payroll, and cloud storage for these industries</w:t>
      </w:r>
      <w:r w:rsidR="00502AE3">
        <w:rPr>
          <w:color w:val="000000" w:themeColor="text1"/>
          <w:sz w:val="22"/>
          <w:lang w:val="en-PK"/>
        </w:rPr>
        <w:t xml:space="preserve"> </w:t>
      </w:r>
      <w:r w:rsidR="00502AE3">
        <w:rPr>
          <w:color w:val="000000" w:themeColor="text1"/>
          <w:sz w:val="22"/>
          <w:lang w:val="en-PK"/>
        </w:rPr>
        <w:fldChar w:fldCharType="begin"/>
      </w:r>
      <w:r w:rsidR="00502AE3">
        <w:rPr>
          <w:color w:val="000000" w:themeColor="text1"/>
          <w:sz w:val="22"/>
          <w:lang w:val="en-PK"/>
        </w:rPr>
        <w:instrText xml:space="preserve"> ADDIN EN.CITE &lt;EndNote&gt;&lt;Cite&gt;&lt;Author&gt;Patrizio&lt;/Author&gt;&lt;Year&gt;2024&lt;/Year&gt;&lt;RecNum&gt;2954&lt;/RecNum&gt;&lt;DisplayText&gt;(Patrizio, 2024)&lt;/DisplayText&gt;&lt;record&gt;&lt;rec-number&gt;2954&lt;/rec-number&gt;&lt;foreign-keys&gt;&lt;key app="EN" db-id="zxrtwszvnew9f9e9p0vv0wfld5x2wxp9wzp5" timestamp="1739349276"&gt;2954&lt;/key&gt;&lt;/foreign-keys&gt;&lt;ref-type name="Web Page"&gt;12&lt;/ref-type&gt;&lt;contributors&gt;&lt;authors&gt;&lt;author&gt;Andy Patrizio&lt;/author&gt;&lt;/authors&gt;&lt;/contributors&gt;&lt;titles&gt;&lt;title&gt;Breaking down the cost of cloud computing in 2025&lt;/title&gt;&lt;/titles&gt;&lt;volume&gt;2025&lt;/volume&gt;&lt;number&gt;12th February&lt;/number&gt;&lt;dates&gt;&lt;year&gt;2024&lt;/year&gt;&lt;/dates&gt;&lt;urls&gt;&lt;related-urls&gt;&lt;url&gt;https://www.techtarget.com/whatis/feature/Breaking-down-the-cost-of-cloud-computing&lt;/url&gt;&lt;/related-urls&gt;&lt;/urls&gt;&lt;/record&gt;&lt;/Cite&gt;&lt;/EndNote&gt;</w:instrText>
      </w:r>
      <w:r w:rsidR="00502AE3">
        <w:rPr>
          <w:color w:val="000000" w:themeColor="text1"/>
          <w:sz w:val="22"/>
          <w:lang w:val="en-PK"/>
        </w:rPr>
        <w:fldChar w:fldCharType="separate"/>
      </w:r>
      <w:r w:rsidR="00502AE3">
        <w:rPr>
          <w:noProof/>
          <w:color w:val="000000" w:themeColor="text1"/>
          <w:sz w:val="22"/>
          <w:lang w:val="en-PK"/>
        </w:rPr>
        <w:t>(Patrizio, 2024)</w:t>
      </w:r>
      <w:r w:rsidR="00502AE3">
        <w:rPr>
          <w:color w:val="000000" w:themeColor="text1"/>
          <w:sz w:val="22"/>
          <w:lang w:val="en-PK"/>
        </w:rPr>
        <w:fldChar w:fldCharType="end"/>
      </w:r>
      <w:r w:rsidRPr="00612826">
        <w:rPr>
          <w:color w:val="000000" w:themeColor="text1"/>
          <w:sz w:val="22"/>
          <w:lang w:val="en-PK"/>
        </w:rPr>
        <w:t xml:space="preserve">. This sector provides IT infrastructure and database management to government agencies, healthcare providers, </w:t>
      </w:r>
      <w:r w:rsidR="00E42500" w:rsidRPr="00612826">
        <w:rPr>
          <w:color w:val="000000" w:themeColor="text1"/>
          <w:sz w:val="22"/>
          <w:lang w:val="en-PK"/>
        </w:rPr>
        <w:t>financial institutions</w:t>
      </w:r>
      <w:r w:rsidR="00E42500">
        <w:rPr>
          <w:color w:val="000000" w:themeColor="text1"/>
          <w:sz w:val="22"/>
          <w:lang w:val="en-PK"/>
        </w:rPr>
        <w:t xml:space="preserve">, </w:t>
      </w:r>
      <w:r w:rsidRPr="00612826">
        <w:rPr>
          <w:color w:val="000000" w:themeColor="text1"/>
          <w:sz w:val="22"/>
          <w:lang w:val="en-PK"/>
        </w:rPr>
        <w:t>and e-commerce companies.</w:t>
      </w:r>
      <w:r>
        <w:rPr>
          <w:color w:val="000000" w:themeColor="text1"/>
          <w:sz w:val="22"/>
          <w:lang w:val="en-PK"/>
        </w:rPr>
        <w:t xml:space="preserve"> </w:t>
      </w:r>
      <w:r w:rsidRPr="00612826">
        <w:rPr>
          <w:color w:val="000000" w:themeColor="text1"/>
          <w:sz w:val="22"/>
          <w:lang w:val="en-PK"/>
        </w:rPr>
        <w:t>The US digital economy relies on the industry, which is growing due to advances in AI, cybersecurity, and big data analytics. Demand for secure, scalable, and efficient data processing solutions drives sector growth and innovation</w:t>
      </w:r>
      <w:r w:rsidR="00635453" w:rsidRPr="0066628E">
        <w:rPr>
          <w:sz w:val="22"/>
        </w:rPr>
        <w:t xml:space="preserve">. </w:t>
      </w:r>
    </w:p>
    <w:p w14:paraId="3CA3CEAE" w14:textId="77777777" w:rsidR="00635453" w:rsidRPr="0066628E" w:rsidRDefault="00635453" w:rsidP="00635453">
      <w:pPr>
        <w:pStyle w:val="NormalWeb"/>
        <w:spacing w:before="0" w:beforeAutospacing="0" w:after="0" w:afterAutospacing="0" w:line="480" w:lineRule="auto"/>
        <w:jc w:val="center"/>
        <w:rPr>
          <w:b/>
          <w:bCs/>
          <w:sz w:val="22"/>
        </w:rPr>
      </w:pPr>
      <w:r w:rsidRPr="0066628E">
        <w:rPr>
          <w:b/>
          <w:bCs/>
          <w:sz w:val="22"/>
        </w:rPr>
        <w:t>Industry at a Glance</w:t>
      </w:r>
    </w:p>
    <w:p w14:paraId="5D45E482" w14:textId="77777777" w:rsidR="00612826" w:rsidRPr="00612826" w:rsidRDefault="00612826" w:rsidP="00612826">
      <w:pPr>
        <w:spacing w:line="480" w:lineRule="auto"/>
        <w:ind w:firstLine="720"/>
        <w:rPr>
          <w:sz w:val="22"/>
          <w:szCs w:val="20"/>
          <w:lang w:val="en-PK"/>
        </w:rPr>
      </w:pPr>
      <w:r w:rsidRPr="00612826">
        <w:rPr>
          <w:sz w:val="22"/>
          <w:szCs w:val="20"/>
          <w:lang w:val="en-PK"/>
        </w:rPr>
        <w:t xml:space="preserve">The US Data Processing &amp; Hosting Services industry helps businesses store, process, and manage massive amounts of data. The industry is worth $291.4 billion in 2024, growing 5.4% from 2019. The </w:t>
      </w:r>
      <w:r w:rsidRPr="00612826">
        <w:rPr>
          <w:sz w:val="22"/>
          <w:szCs w:val="20"/>
          <w:lang w:val="en-PK"/>
        </w:rPr>
        <w:lastRenderedPageBreak/>
        <w:t>CAGR is expected to moderate to 3.1% from 2024 to 2029. Digitalisation, cloud computing, and the need for scalable and secure data management solutions are driving this steady growth.</w:t>
      </w:r>
    </w:p>
    <w:p w14:paraId="34DF547E" w14:textId="10BB7E8B" w:rsidR="00612826" w:rsidRPr="00612826" w:rsidRDefault="00612826" w:rsidP="00502AE3">
      <w:pPr>
        <w:spacing w:line="480" w:lineRule="auto"/>
        <w:ind w:firstLine="720"/>
        <w:rPr>
          <w:sz w:val="22"/>
          <w:szCs w:val="20"/>
          <w:lang w:val="en-PK"/>
        </w:rPr>
      </w:pPr>
      <w:r w:rsidRPr="00612826">
        <w:rPr>
          <w:sz w:val="22"/>
          <w:szCs w:val="20"/>
          <w:lang w:val="en-PK"/>
        </w:rPr>
        <w:t>The sector employed 704,000 people in 2024, growing 3.4% annually since 2019. The industry has grown to 55,702 firms in 2024, a 0.8% annual increase over the past five years.</w:t>
      </w:r>
      <w:r w:rsidR="00502AE3">
        <w:rPr>
          <w:sz w:val="22"/>
          <w:szCs w:val="20"/>
          <w:lang w:val="en-PK"/>
        </w:rPr>
        <w:t xml:space="preserve"> </w:t>
      </w:r>
      <w:r w:rsidRPr="00612826">
        <w:rPr>
          <w:sz w:val="22"/>
          <w:szCs w:val="20"/>
          <w:lang w:val="en-PK"/>
        </w:rPr>
        <w:t>The market is dominated by major players, however. AWS leads with $62.0 billion in revenue, followed by Salesforce ($32.4 billion), IBM ($19.4 billion), and DXC Technology ($7.4 billion). Smaller firms generate $170.1 billion in revenue, but these companies dominate the market</w:t>
      </w:r>
      <w:r w:rsidR="00502AE3">
        <w:rPr>
          <w:sz w:val="22"/>
          <w:szCs w:val="20"/>
          <w:lang w:val="en-PK"/>
        </w:rPr>
        <w:t xml:space="preserve"> </w:t>
      </w:r>
      <w:r w:rsidR="00502AE3">
        <w:rPr>
          <w:sz w:val="22"/>
          <w:szCs w:val="20"/>
          <w:lang w:val="en-PK"/>
        </w:rPr>
        <w:fldChar w:fldCharType="begin"/>
      </w:r>
      <w:r w:rsidR="008610BF">
        <w:rPr>
          <w:sz w:val="22"/>
          <w:szCs w:val="20"/>
          <w:lang w:val="en-PK"/>
        </w:rPr>
        <w:instrText xml:space="preserve"> ADDIN EN.CITE &lt;EndNote&gt;&lt;Cite&gt;&lt;Author&gt;Curtis&lt;/Author&gt;&lt;Year&gt;2024&lt;/Year&gt;&lt;RecNum&gt;2953&lt;/RecNum&gt;&lt;DisplayText&gt;(Curtis, 2024)&lt;/DisplayText&gt;&lt;record&gt;&lt;rec-number&gt;2953&lt;/rec-number&gt;&lt;foreign-keys&gt;&lt;key app="EN" db-id="zxrtwszvnew9f9e9p0vv0wfld5x2wxp9wzp5" timestamp="1739349097"&gt;2953&lt;/key&gt;&lt;/foreign-keys&gt;&lt;ref-type name="Report"&gt;27&lt;/ref-type&gt;&lt;contributors&gt;&lt;authors&gt;&lt;author&gt;William Curtis&lt;/author&gt;&lt;/authors&gt;&lt;tertiary-authors&gt;&lt;author&gt;IBISWorld&lt;/author&gt;&lt;/tertiary-authors&gt;&lt;/contributors&gt;&lt;titles&gt;&lt;title&gt;Data Processing &amp;amp; Hosting Services in the US&lt;/title&gt;&lt;/titles&gt;&lt;dates&gt;&lt;year&gt;2024&lt;/year&gt;&lt;/dates&gt;&lt;urls&gt;&lt;related-urls&gt;&lt;url&gt;https://my-ibisworld-com.trident.idm.oclc.org/us/en/industry/51821/at-a-glance&lt;/url&gt;&lt;/related-urls&gt;&lt;/urls&gt;&lt;/record&gt;&lt;/Cite&gt;&lt;/EndNote&gt;</w:instrText>
      </w:r>
      <w:r w:rsidR="00502AE3">
        <w:rPr>
          <w:sz w:val="22"/>
          <w:szCs w:val="20"/>
          <w:lang w:val="en-PK"/>
        </w:rPr>
        <w:fldChar w:fldCharType="separate"/>
      </w:r>
      <w:r w:rsidR="00502AE3">
        <w:rPr>
          <w:noProof/>
          <w:sz w:val="22"/>
          <w:szCs w:val="20"/>
          <w:lang w:val="en-PK"/>
        </w:rPr>
        <w:t>(Curtis, 2024)</w:t>
      </w:r>
      <w:r w:rsidR="00502AE3">
        <w:rPr>
          <w:sz w:val="22"/>
          <w:szCs w:val="20"/>
          <w:lang w:val="en-PK"/>
        </w:rPr>
        <w:fldChar w:fldCharType="end"/>
      </w:r>
      <w:r w:rsidRPr="00612826">
        <w:rPr>
          <w:sz w:val="22"/>
          <w:szCs w:val="20"/>
          <w:lang w:val="en-PK"/>
        </w:rPr>
        <w:t>.</w:t>
      </w:r>
    </w:p>
    <w:p w14:paraId="76B94215" w14:textId="7463F5F5" w:rsidR="00612826" w:rsidRPr="00612826" w:rsidRDefault="00612826" w:rsidP="00612826">
      <w:pPr>
        <w:spacing w:line="480" w:lineRule="auto"/>
        <w:ind w:firstLine="720"/>
        <w:rPr>
          <w:sz w:val="22"/>
          <w:szCs w:val="20"/>
          <w:lang w:val="en-PK"/>
        </w:rPr>
      </w:pPr>
      <w:r w:rsidRPr="00612826">
        <w:rPr>
          <w:sz w:val="22"/>
          <w:szCs w:val="20"/>
          <w:lang w:val="en-PK"/>
        </w:rPr>
        <w:t>The industry offers many services, with web hosting generating $103.7 billion. Application service provisioning ($58.6 billion), business process management ($55.7 billion), and data storage &amp; management ($11.4 billion) are also important. Cloud computing's widespread adoption has reshaped the industry by enabling cost-effective and flexible operations optimisation</w:t>
      </w:r>
      <w:r w:rsidR="00502AE3">
        <w:rPr>
          <w:sz w:val="22"/>
          <w:szCs w:val="20"/>
          <w:lang w:val="en-PK"/>
        </w:rPr>
        <w:t xml:space="preserve"> </w:t>
      </w:r>
      <w:r w:rsidR="00502AE3">
        <w:rPr>
          <w:sz w:val="22"/>
          <w:szCs w:val="20"/>
          <w:lang w:val="en-PK"/>
        </w:rPr>
        <w:fldChar w:fldCharType="begin"/>
      </w:r>
      <w:r w:rsidR="00502AE3">
        <w:rPr>
          <w:sz w:val="22"/>
          <w:szCs w:val="20"/>
          <w:lang w:val="en-PK"/>
        </w:rPr>
        <w:instrText xml:space="preserve"> ADDIN EN.CITE &lt;EndNote&gt;&lt;Cite&gt;&lt;Author&gt;CXO&lt;/Author&gt;&lt;Year&gt;2024&lt;/Year&gt;&lt;RecNum&gt;2955&lt;/RecNum&gt;&lt;DisplayText&gt;(CXO, 2024)&lt;/DisplayText&gt;&lt;record&gt;&lt;rec-number&gt;2955&lt;/rec-number&gt;&lt;foreign-keys&gt;&lt;key app="EN" db-id="zxrtwszvnew9f9e9p0vv0wfld5x2wxp9wzp5" timestamp="1739349583"&gt;2955&lt;/key&gt;&lt;/foreign-keys&gt;&lt;ref-type name="Web Page"&gt;12&lt;/ref-type&gt;&lt;contributors&gt;&lt;authors&gt;&lt;author&gt;CXO,&lt;/author&gt;&lt;/authors&gt;&lt;/contributors&gt;&lt;titles&gt;&lt;title&gt;An outlook at emerging technologies that will reshape enterprises in 2025&lt;/title&gt;&lt;/titles&gt;&lt;volume&gt;2025&lt;/volume&gt;&lt;number&gt;12th February&lt;/number&gt;&lt;dates&gt;&lt;year&gt;2024&lt;/year&gt;&lt;/dates&gt;&lt;urls&gt;&lt;related-urls&gt;&lt;url&gt;https://cxotoday.com/corner-office/an-outlook-at-emerging-technologies-that-will-reshape-enterprises-in-2025/&lt;/url&gt;&lt;/related-urls&gt;&lt;/urls&gt;&lt;/record&gt;&lt;/Cite&gt;&lt;/EndNote&gt;</w:instrText>
      </w:r>
      <w:r w:rsidR="00502AE3">
        <w:rPr>
          <w:sz w:val="22"/>
          <w:szCs w:val="20"/>
          <w:lang w:val="en-PK"/>
        </w:rPr>
        <w:fldChar w:fldCharType="separate"/>
      </w:r>
      <w:r w:rsidR="00502AE3">
        <w:rPr>
          <w:noProof/>
          <w:sz w:val="22"/>
          <w:szCs w:val="20"/>
          <w:lang w:val="en-PK"/>
        </w:rPr>
        <w:t>(CXO, 2024)</w:t>
      </w:r>
      <w:r w:rsidR="00502AE3">
        <w:rPr>
          <w:sz w:val="22"/>
          <w:szCs w:val="20"/>
          <w:lang w:val="en-PK"/>
        </w:rPr>
        <w:fldChar w:fldCharType="end"/>
      </w:r>
      <w:r w:rsidRPr="00612826">
        <w:rPr>
          <w:sz w:val="22"/>
          <w:szCs w:val="20"/>
          <w:lang w:val="en-PK"/>
        </w:rPr>
        <w:t>.</w:t>
      </w:r>
    </w:p>
    <w:p w14:paraId="3C291771" w14:textId="77777777" w:rsidR="00612826" w:rsidRPr="00612826" w:rsidRDefault="00612826" w:rsidP="00612826">
      <w:pPr>
        <w:spacing w:line="480" w:lineRule="auto"/>
        <w:ind w:firstLine="720"/>
        <w:rPr>
          <w:sz w:val="22"/>
          <w:szCs w:val="20"/>
          <w:lang w:val="en-PK"/>
        </w:rPr>
      </w:pPr>
      <w:r w:rsidRPr="00612826">
        <w:rPr>
          <w:sz w:val="22"/>
          <w:szCs w:val="20"/>
          <w:lang w:val="en-PK"/>
        </w:rPr>
        <w:t>Industry performance depends on several factors. More business is done online, driving demand for cloud storage and hosting. Mobile internet connections have increased, requiring seamless, secure, and high-speed data access. Computer and peripheral prices have steadily fallen, making in-house data processing more affordable but forcing companies to offer competitive pricing. Compliance with consumer data protection and privacy laws requires significant cybersecurity and compliance investment.</w:t>
      </w:r>
    </w:p>
    <w:p w14:paraId="733CC944" w14:textId="0E3AB401" w:rsidR="00635453" w:rsidRPr="00612826" w:rsidRDefault="008C5610" w:rsidP="00612826">
      <w:pPr>
        <w:spacing w:line="480" w:lineRule="auto"/>
        <w:ind w:firstLine="720"/>
        <w:rPr>
          <w:sz w:val="22"/>
          <w:szCs w:val="20"/>
          <w:lang w:val="en-PK"/>
        </w:rPr>
      </w:pPr>
      <w:r>
        <w:rPr>
          <w:sz w:val="22"/>
          <w:szCs w:val="20"/>
          <w:lang w:val="en-PK"/>
        </w:rPr>
        <w:t>It</w:t>
      </w:r>
      <w:r w:rsidR="00612826" w:rsidRPr="00612826">
        <w:rPr>
          <w:sz w:val="22"/>
          <w:szCs w:val="20"/>
          <w:lang w:val="en-PK"/>
        </w:rPr>
        <w:t xml:space="preserve"> is expected to grow to $396.4 billion by 2029, employing 812,000 people and establishing 58,320 businesses. Edge computing, AI-driven automation, and blockchain security will enable companies to provide more efficient, low-latency, and secure data solutions. However, rising competition and operational costs will require strategic investment in innovation, workforce development, and regulatory compliance to stay competitive</w:t>
      </w:r>
      <w:r w:rsidR="00EC617A" w:rsidRPr="00EC617A">
        <w:rPr>
          <w:sz w:val="22"/>
          <w:lang w:val="en-PK"/>
        </w:rPr>
        <w:t>.</w:t>
      </w:r>
    </w:p>
    <w:p w14:paraId="7E0230A8" w14:textId="77777777" w:rsidR="00635453" w:rsidRPr="0066628E" w:rsidRDefault="00635453" w:rsidP="00635453">
      <w:pPr>
        <w:pStyle w:val="NormalWeb"/>
        <w:spacing w:before="0" w:beforeAutospacing="0" w:after="0" w:afterAutospacing="0" w:line="480" w:lineRule="auto"/>
        <w:jc w:val="center"/>
        <w:rPr>
          <w:b/>
          <w:bCs/>
          <w:sz w:val="22"/>
        </w:rPr>
      </w:pPr>
      <w:r w:rsidRPr="0066628E">
        <w:rPr>
          <w:b/>
          <w:bCs/>
          <w:sz w:val="22"/>
        </w:rPr>
        <w:t>Industry Performance</w:t>
      </w:r>
    </w:p>
    <w:p w14:paraId="79DE4003" w14:textId="2B75173F" w:rsidR="00871249" w:rsidRPr="001D5087" w:rsidRDefault="002F449E" w:rsidP="003E64B1">
      <w:pPr>
        <w:spacing w:line="480" w:lineRule="auto"/>
        <w:ind w:firstLine="720"/>
        <w:rPr>
          <w:sz w:val="22"/>
          <w:szCs w:val="20"/>
          <w:lang w:val="en-PK"/>
        </w:rPr>
      </w:pPr>
      <w:r>
        <w:rPr>
          <w:sz w:val="22"/>
          <w:szCs w:val="20"/>
          <w:lang w:val="en-PK"/>
        </w:rPr>
        <w:t>This industry</w:t>
      </w:r>
      <w:r w:rsidR="00871249" w:rsidRPr="001D5087">
        <w:rPr>
          <w:sz w:val="22"/>
          <w:szCs w:val="20"/>
          <w:lang w:val="en-PK"/>
        </w:rPr>
        <w:t xml:space="preserve"> has experienced significant growth due to the increasing reliance on cloud computing, data outsourcing, and advancements in artificial intelligence (AI) and edge computing</w:t>
      </w:r>
      <w:r w:rsidR="00DE1C53">
        <w:rPr>
          <w:sz w:val="22"/>
          <w:szCs w:val="20"/>
          <w:lang w:val="en-PK"/>
        </w:rPr>
        <w:t xml:space="preserve"> and c</w:t>
      </w:r>
      <w:r w:rsidR="00871249" w:rsidRPr="001D5087">
        <w:rPr>
          <w:sz w:val="22"/>
          <w:szCs w:val="20"/>
          <w:lang w:val="en-PK"/>
        </w:rPr>
        <w:t xml:space="preserve">ompanies across various sectors, particularly those without internal IT capabilities, have turned to third-party providers for data management, storage, and security solutions. This shift has </w:t>
      </w:r>
      <w:r w:rsidR="001A0324" w:rsidRPr="001D5087">
        <w:rPr>
          <w:sz w:val="22"/>
          <w:szCs w:val="20"/>
          <w:lang w:val="en-PK"/>
        </w:rPr>
        <w:t>fuelled</w:t>
      </w:r>
      <w:r w:rsidR="00871249" w:rsidRPr="001D5087">
        <w:rPr>
          <w:sz w:val="22"/>
          <w:szCs w:val="20"/>
          <w:lang w:val="en-PK"/>
        </w:rPr>
        <w:t xml:space="preserve"> industry </w:t>
      </w:r>
      <w:r w:rsidR="00871249" w:rsidRPr="001D5087">
        <w:rPr>
          <w:sz w:val="22"/>
          <w:szCs w:val="20"/>
          <w:lang w:val="en-PK"/>
        </w:rPr>
        <w:lastRenderedPageBreak/>
        <w:t>expansion, with revenue reaching $291.4 billion in 2024</w:t>
      </w:r>
      <w:r>
        <w:rPr>
          <w:sz w:val="22"/>
          <w:szCs w:val="20"/>
          <w:lang w:val="en-PK"/>
        </w:rPr>
        <w:t xml:space="preserve"> which reflects </w:t>
      </w:r>
      <w:r w:rsidR="00871249" w:rsidRPr="001D5087">
        <w:rPr>
          <w:sz w:val="22"/>
          <w:szCs w:val="20"/>
          <w:lang w:val="en-PK"/>
        </w:rPr>
        <w:t>a compound annual growth rate (CAGR) of 5.4% from 2019 to 2024</w:t>
      </w:r>
      <w:r w:rsidR="00DE1C53">
        <w:rPr>
          <w:sz w:val="22"/>
          <w:szCs w:val="20"/>
          <w:lang w:val="en-PK"/>
        </w:rPr>
        <w:t>; h</w:t>
      </w:r>
      <w:r w:rsidR="00871249" w:rsidRPr="001D5087">
        <w:rPr>
          <w:sz w:val="22"/>
          <w:szCs w:val="20"/>
          <w:lang w:val="en-PK"/>
        </w:rPr>
        <w:t>owever, growth is expected to moderate slightly to a CAGR of 3.1% from 2024 to 2029 as the market matures</w:t>
      </w:r>
      <w:r w:rsidR="00502AE3">
        <w:rPr>
          <w:sz w:val="22"/>
          <w:szCs w:val="20"/>
          <w:lang w:val="en-PK"/>
        </w:rPr>
        <w:t xml:space="preserve"> </w:t>
      </w:r>
      <w:r w:rsidR="00502AE3">
        <w:rPr>
          <w:sz w:val="22"/>
          <w:szCs w:val="20"/>
          <w:lang w:val="en-PK"/>
        </w:rPr>
        <w:fldChar w:fldCharType="begin"/>
      </w:r>
      <w:r w:rsidR="008610BF">
        <w:rPr>
          <w:sz w:val="22"/>
          <w:szCs w:val="20"/>
          <w:lang w:val="en-PK"/>
        </w:rPr>
        <w:instrText xml:space="preserve"> ADDIN EN.CITE &lt;EndNote&gt;&lt;Cite&gt;&lt;Author&gt;Curtis&lt;/Author&gt;&lt;Year&gt;2024&lt;/Year&gt;&lt;RecNum&gt;2953&lt;/RecNum&gt;&lt;DisplayText&gt;(Curtis, 2024)&lt;/DisplayText&gt;&lt;record&gt;&lt;rec-number&gt;2953&lt;/rec-number&gt;&lt;foreign-keys&gt;&lt;key app="EN" db-id="zxrtwszvnew9f9e9p0vv0wfld5x2wxp9wzp5" timestamp="1739349097"&gt;2953&lt;/key&gt;&lt;/foreign-keys&gt;&lt;ref-type name="Report"&gt;27&lt;/ref-type&gt;&lt;contributors&gt;&lt;authors&gt;&lt;author&gt;William Curtis&lt;/author&gt;&lt;/authors&gt;&lt;tertiary-authors&gt;&lt;author&gt;IBISWorld&lt;/author&gt;&lt;/tertiary-authors&gt;&lt;/contributors&gt;&lt;titles&gt;&lt;title&gt;Data Processing &amp;amp; Hosting Services in the US&lt;/title&gt;&lt;/titles&gt;&lt;dates&gt;&lt;year&gt;2024&lt;/year&gt;&lt;/dates&gt;&lt;urls&gt;&lt;related-urls&gt;&lt;url&gt;https://my-ibisworld-com.trident.idm.oclc.org/us/en/industry/51821/at-a-glance&lt;/url&gt;&lt;/related-urls&gt;&lt;/urls&gt;&lt;/record&gt;&lt;/Cite&gt;&lt;/EndNote&gt;</w:instrText>
      </w:r>
      <w:r w:rsidR="00502AE3">
        <w:rPr>
          <w:sz w:val="22"/>
          <w:szCs w:val="20"/>
          <w:lang w:val="en-PK"/>
        </w:rPr>
        <w:fldChar w:fldCharType="separate"/>
      </w:r>
      <w:r w:rsidR="00502AE3">
        <w:rPr>
          <w:noProof/>
          <w:sz w:val="22"/>
          <w:szCs w:val="20"/>
          <w:lang w:val="en-PK"/>
        </w:rPr>
        <w:t>(Curtis, 2024)</w:t>
      </w:r>
      <w:r w:rsidR="00502AE3">
        <w:rPr>
          <w:sz w:val="22"/>
          <w:szCs w:val="20"/>
          <w:lang w:val="en-PK"/>
        </w:rPr>
        <w:fldChar w:fldCharType="end"/>
      </w:r>
      <w:r w:rsidR="00871249" w:rsidRPr="001D5087">
        <w:rPr>
          <w:sz w:val="22"/>
          <w:szCs w:val="20"/>
          <w:lang w:val="en-PK"/>
        </w:rPr>
        <w:t>.</w:t>
      </w:r>
      <w:r w:rsidR="003E64B1">
        <w:rPr>
          <w:sz w:val="22"/>
          <w:szCs w:val="20"/>
          <w:lang w:val="en-PK"/>
        </w:rPr>
        <w:t xml:space="preserve"> </w:t>
      </w:r>
      <w:r w:rsidR="00871249" w:rsidRPr="001D5087">
        <w:rPr>
          <w:sz w:val="22"/>
          <w:szCs w:val="20"/>
          <w:lang w:val="en-PK"/>
        </w:rPr>
        <w:t xml:space="preserve">One of the primary drivers of industry growth has been the widespread adoption of cloud computing, which offers scalable, cost-efficient, and flexible solutions for businesses of all sizes. Large corporations, including JPMorgan Chase and Bank of America, </w:t>
      </w:r>
      <w:r w:rsidR="005E4B13">
        <w:rPr>
          <w:sz w:val="22"/>
          <w:szCs w:val="20"/>
          <w:lang w:val="en-PK"/>
        </w:rPr>
        <w:t>use</w:t>
      </w:r>
      <w:r w:rsidR="00871249" w:rsidRPr="001D5087">
        <w:rPr>
          <w:sz w:val="22"/>
          <w:szCs w:val="20"/>
          <w:lang w:val="en-PK"/>
        </w:rPr>
        <w:t xml:space="preserve"> cloud platforms like Microsoft Azure</w:t>
      </w:r>
      <w:r w:rsidR="005E4B13">
        <w:rPr>
          <w:sz w:val="22"/>
          <w:szCs w:val="20"/>
          <w:lang w:val="en-PK"/>
        </w:rPr>
        <w:t xml:space="preserve"> and</w:t>
      </w:r>
      <w:r w:rsidR="005E4B13" w:rsidRPr="005E4B13">
        <w:rPr>
          <w:sz w:val="22"/>
          <w:szCs w:val="20"/>
          <w:lang w:val="en-PK"/>
        </w:rPr>
        <w:t xml:space="preserve"> </w:t>
      </w:r>
      <w:r w:rsidR="005E4B13" w:rsidRPr="001D5087">
        <w:rPr>
          <w:sz w:val="22"/>
          <w:szCs w:val="20"/>
          <w:lang w:val="en-PK"/>
        </w:rPr>
        <w:t>Amazon Web Services (AWS)</w:t>
      </w:r>
      <w:r w:rsidR="00871249" w:rsidRPr="001D5087">
        <w:rPr>
          <w:sz w:val="22"/>
          <w:szCs w:val="20"/>
          <w:lang w:val="en-PK"/>
        </w:rPr>
        <w:t xml:space="preserve"> for their data storage and analytical needs. Additionally, the rise of content streaming and digital media consumption has increased demand for robust web hosting services.</w:t>
      </w:r>
    </w:p>
    <w:p w14:paraId="3511A015" w14:textId="1868C518" w:rsidR="00635453" w:rsidRPr="003E64B1" w:rsidRDefault="00871249" w:rsidP="003E64B1">
      <w:pPr>
        <w:spacing w:line="480" w:lineRule="auto"/>
        <w:ind w:firstLine="720"/>
        <w:rPr>
          <w:sz w:val="22"/>
          <w:szCs w:val="20"/>
          <w:lang w:val="en-PK"/>
        </w:rPr>
      </w:pPr>
      <w:r w:rsidRPr="001D5087">
        <w:rPr>
          <w:sz w:val="22"/>
          <w:szCs w:val="20"/>
          <w:lang w:val="en-PK"/>
        </w:rPr>
        <w:t xml:space="preserve">The expansion of mobile internet connections and the </w:t>
      </w:r>
      <w:r w:rsidR="00774983">
        <w:rPr>
          <w:sz w:val="22"/>
          <w:szCs w:val="20"/>
          <w:lang w:val="en-PK"/>
        </w:rPr>
        <w:t>expansion</w:t>
      </w:r>
      <w:r w:rsidRPr="001D5087">
        <w:rPr>
          <w:sz w:val="22"/>
          <w:szCs w:val="20"/>
          <w:lang w:val="en-PK"/>
        </w:rPr>
        <w:t xml:space="preserve"> of Internet of Things (IoT) devices have further accelerated the demand for real-time data processing. Innovations in edge computing, </w:t>
      </w:r>
      <w:r w:rsidR="00774983" w:rsidRPr="00774983">
        <w:rPr>
          <w:sz w:val="22"/>
          <w:szCs w:val="20"/>
          <w:lang w:val="en-PK"/>
        </w:rPr>
        <w:t>which processes data near the source to reduce latency</w:t>
      </w:r>
      <w:r w:rsidRPr="001D5087">
        <w:rPr>
          <w:sz w:val="22"/>
          <w:szCs w:val="20"/>
          <w:lang w:val="en-PK"/>
        </w:rPr>
        <w:t>, have enhanced efficiency and security for businesses. Moreover, AI-powered automation has improved data management, optimizing operational performance across multiple industries.</w:t>
      </w:r>
      <w:r w:rsidR="003E64B1">
        <w:rPr>
          <w:sz w:val="22"/>
          <w:szCs w:val="20"/>
          <w:lang w:val="en-PK"/>
        </w:rPr>
        <w:t xml:space="preserve"> </w:t>
      </w:r>
      <w:r w:rsidRPr="001D5087">
        <w:rPr>
          <w:sz w:val="22"/>
          <w:szCs w:val="20"/>
          <w:lang w:val="en-PK"/>
        </w:rPr>
        <w:t>As of 2024, the industry employs approximately 704,000 workers, growing at a rate of 3.4% over the past five years</w:t>
      </w:r>
      <w:r w:rsidR="00502AE3">
        <w:rPr>
          <w:sz w:val="22"/>
          <w:szCs w:val="20"/>
          <w:lang w:val="en-PK"/>
        </w:rPr>
        <w:t xml:space="preserve"> </w:t>
      </w:r>
      <w:r w:rsidR="00502AE3">
        <w:rPr>
          <w:sz w:val="22"/>
          <w:szCs w:val="20"/>
          <w:lang w:val="en-PK"/>
        </w:rPr>
        <w:fldChar w:fldCharType="begin"/>
      </w:r>
      <w:r w:rsidR="00502AE3">
        <w:rPr>
          <w:sz w:val="22"/>
          <w:szCs w:val="20"/>
          <w:lang w:val="en-PK"/>
        </w:rPr>
        <w:instrText xml:space="preserve"> ADDIN EN.CITE &lt;EndNote&gt;&lt;Cite&gt;&lt;Author&gt;Dharmadhikari&lt;/Author&gt;&lt;Year&gt;2024&lt;/Year&gt;&lt;RecNum&gt;2956&lt;/RecNum&gt;&lt;DisplayText&gt;(Dharmadhikari, 2024)&lt;/DisplayText&gt;&lt;record&gt;&lt;rec-number&gt;2956&lt;/rec-number&gt;&lt;foreign-keys&gt;&lt;key app="EN" db-id="zxrtwszvnew9f9e9p0vv0wfld5x2wxp9wzp5" timestamp="1739349749"&gt;2956&lt;/key&gt;&lt;/foreign-keys&gt;&lt;ref-type name="Web Page"&gt;12&lt;/ref-type&gt;&lt;contributors&gt;&lt;authors&gt;&lt;author&gt;Swasti Dharmadhikari&lt;/author&gt;&lt;/authors&gt;&lt;/contributors&gt;&lt;titles&gt;&lt;title&gt;Data Processing And Hosting Service Market Report 2025 (Global Edition)&lt;/title&gt;&lt;/titles&gt;&lt;volume&gt;2025&lt;/volume&gt;&lt;number&gt;12th February&lt;/number&gt;&lt;dates&gt;&lt;year&gt;2024&lt;/year&gt;&lt;/dates&gt;&lt;urls&gt;&lt;related-urls&gt;&lt;url&gt;https://www.cognitivemarketresearch.com/data-processing-and-hosting-service-market-report?srsltid=AfmBOooKTn0ARsct94lZj_HvZXcCfSF2lVAEjBowwN29JLng_IAK-5sh&lt;/url&gt;&lt;/related-urls&gt;&lt;/urls&gt;&lt;/record&gt;&lt;/Cite&gt;&lt;/EndNote&gt;</w:instrText>
      </w:r>
      <w:r w:rsidR="00502AE3">
        <w:rPr>
          <w:sz w:val="22"/>
          <w:szCs w:val="20"/>
          <w:lang w:val="en-PK"/>
        </w:rPr>
        <w:fldChar w:fldCharType="separate"/>
      </w:r>
      <w:r w:rsidR="00502AE3">
        <w:rPr>
          <w:noProof/>
          <w:sz w:val="22"/>
          <w:szCs w:val="20"/>
          <w:lang w:val="en-PK"/>
        </w:rPr>
        <w:t>(Dharmadhikari, 2024)</w:t>
      </w:r>
      <w:r w:rsidR="00502AE3">
        <w:rPr>
          <w:sz w:val="22"/>
          <w:szCs w:val="20"/>
          <w:lang w:val="en-PK"/>
        </w:rPr>
        <w:fldChar w:fldCharType="end"/>
      </w:r>
      <w:r w:rsidRPr="001D5087">
        <w:rPr>
          <w:sz w:val="22"/>
          <w:szCs w:val="20"/>
          <w:lang w:val="en-PK"/>
        </w:rPr>
        <w:t>. Employment is projected to increase at a slower pace of 2.9% from 2024 to 2029 as automation and AI integration reduce the need for manual intervention in data processing tasks. The number of businesses operating in the sector has also expanded to 55,702, with a forecasted growth of 1.7% through 2029.</w:t>
      </w:r>
      <w:r w:rsidR="003E64B1">
        <w:rPr>
          <w:sz w:val="22"/>
          <w:szCs w:val="20"/>
          <w:lang w:val="en-PK"/>
        </w:rPr>
        <w:t xml:space="preserve"> </w:t>
      </w:r>
      <w:r w:rsidRPr="001D5087">
        <w:rPr>
          <w:sz w:val="22"/>
          <w:szCs w:val="20"/>
          <w:lang w:val="en-PK"/>
        </w:rPr>
        <w:t>Despite strong growth, the industry faces challenges such as increasing competition, regulatory compliance, and cybersecurity risks</w:t>
      </w:r>
      <w:r w:rsidR="007520E2">
        <w:rPr>
          <w:sz w:val="22"/>
          <w:szCs w:val="20"/>
          <w:lang w:val="en-PK"/>
        </w:rPr>
        <w:t xml:space="preserve"> and t</w:t>
      </w:r>
      <w:r w:rsidRPr="001D5087">
        <w:rPr>
          <w:sz w:val="22"/>
          <w:szCs w:val="20"/>
          <w:lang w:val="en-PK"/>
        </w:rPr>
        <w:t>he rise of offshore data processing solutions, particularly in cost-effective markets like India, has heightened competition for domestic firms. Additionally, evolving regulations, such as the General Data Protection Regulation (GDPR)</w:t>
      </w:r>
      <w:r w:rsidR="00774983">
        <w:rPr>
          <w:sz w:val="22"/>
          <w:szCs w:val="20"/>
          <w:lang w:val="en-PK"/>
        </w:rPr>
        <w:t xml:space="preserve"> that requires </w:t>
      </w:r>
      <w:r w:rsidRPr="001D5087">
        <w:rPr>
          <w:sz w:val="22"/>
          <w:szCs w:val="20"/>
          <w:lang w:val="en-PK"/>
        </w:rPr>
        <w:t>companies to invest heavily in data security and compliance infrastructure</w:t>
      </w:r>
      <w:r w:rsidR="007520E2">
        <w:rPr>
          <w:sz w:val="22"/>
          <w:szCs w:val="20"/>
          <w:lang w:val="en-PK"/>
        </w:rPr>
        <w:t xml:space="preserve"> and l</w:t>
      </w:r>
      <w:r w:rsidRPr="001D5087">
        <w:rPr>
          <w:sz w:val="22"/>
          <w:szCs w:val="20"/>
          <w:lang w:val="en-PK"/>
        </w:rPr>
        <w:t xml:space="preserve">ooking ahead, the industry will continue to evolve with emerging technologies such as AI-driven predictive analytics, blockchain-based security, and quantum computing. Investments in sustainable data </w:t>
      </w:r>
      <w:r w:rsidR="001A0324" w:rsidRPr="001D5087">
        <w:rPr>
          <w:sz w:val="22"/>
          <w:szCs w:val="20"/>
          <w:lang w:val="en-PK"/>
        </w:rPr>
        <w:t>centres</w:t>
      </w:r>
      <w:r w:rsidRPr="001D5087">
        <w:rPr>
          <w:sz w:val="22"/>
          <w:szCs w:val="20"/>
          <w:lang w:val="en-PK"/>
        </w:rPr>
        <w:t xml:space="preserve"> and cybersecurity measures will also be critical in maintaining long-term growth and competitive positioning in an increasingly digital economy</w:t>
      </w:r>
      <w:r w:rsidR="00635453" w:rsidRPr="0066628E">
        <w:rPr>
          <w:sz w:val="22"/>
          <w:szCs w:val="20"/>
        </w:rPr>
        <w:t>.</w:t>
      </w:r>
    </w:p>
    <w:p w14:paraId="003713A2" w14:textId="77777777" w:rsidR="00635453" w:rsidRPr="0066628E" w:rsidRDefault="00635453" w:rsidP="00635453">
      <w:pPr>
        <w:pStyle w:val="NormalWeb"/>
        <w:spacing w:before="0" w:beforeAutospacing="0" w:after="0" w:afterAutospacing="0" w:line="480" w:lineRule="auto"/>
        <w:jc w:val="center"/>
        <w:rPr>
          <w:b/>
          <w:bCs/>
          <w:sz w:val="22"/>
        </w:rPr>
      </w:pPr>
      <w:r w:rsidRPr="0066628E">
        <w:rPr>
          <w:b/>
          <w:bCs/>
          <w:sz w:val="22"/>
        </w:rPr>
        <w:t>Industry Outlook</w:t>
      </w:r>
    </w:p>
    <w:p w14:paraId="0127090D" w14:textId="1B44D4E4" w:rsidR="00850747" w:rsidRPr="00850747" w:rsidRDefault="00850747" w:rsidP="00850747">
      <w:pPr>
        <w:spacing w:line="480" w:lineRule="auto"/>
        <w:ind w:firstLine="720"/>
        <w:rPr>
          <w:sz w:val="22"/>
          <w:szCs w:val="20"/>
        </w:rPr>
      </w:pPr>
      <w:r w:rsidRPr="00850747">
        <w:rPr>
          <w:sz w:val="22"/>
          <w:szCs w:val="20"/>
        </w:rPr>
        <w:lastRenderedPageBreak/>
        <w:t xml:space="preserve">In the US, </w:t>
      </w:r>
      <w:r w:rsidR="00F1089A">
        <w:rPr>
          <w:sz w:val="22"/>
          <w:szCs w:val="20"/>
        </w:rPr>
        <w:t>this industry</w:t>
      </w:r>
      <w:r w:rsidRPr="00850747">
        <w:rPr>
          <w:sz w:val="22"/>
          <w:szCs w:val="20"/>
        </w:rPr>
        <w:t xml:space="preserve"> has grown a lot. This is because more people are using cloud computing, AI is getting better, and there are more Internet of Things (IoT) devices circulating around</w:t>
      </w:r>
      <w:r w:rsidR="007520E2">
        <w:rPr>
          <w:sz w:val="22"/>
          <w:szCs w:val="20"/>
        </w:rPr>
        <w:t xml:space="preserve"> and it </w:t>
      </w:r>
      <w:r w:rsidRPr="00850747">
        <w:rPr>
          <w:sz w:val="22"/>
          <w:szCs w:val="20"/>
        </w:rPr>
        <w:t>is worth $291.4 billion in 2024, after growing at a rate of 5.4% per year from 2019 to 2024. The market is expected to keep growing in the years to come, with a CAGR of 10.5% from 2024 to 2030</w:t>
      </w:r>
      <w:r w:rsidR="00A12B0F">
        <w:rPr>
          <w:sz w:val="22"/>
          <w:szCs w:val="20"/>
        </w:rPr>
        <w:t xml:space="preserve"> </w:t>
      </w:r>
      <w:r w:rsidR="00A12B0F">
        <w:rPr>
          <w:sz w:val="22"/>
          <w:szCs w:val="20"/>
        </w:rPr>
        <w:fldChar w:fldCharType="begin"/>
      </w:r>
      <w:r w:rsidR="008610BF">
        <w:rPr>
          <w:sz w:val="22"/>
          <w:szCs w:val="20"/>
        </w:rPr>
        <w:instrText xml:space="preserve"> ADDIN EN.CITE &lt;EndNote&gt;&lt;Cite&gt;&lt;Author&gt;Curtis&lt;/Author&gt;&lt;Year&gt;2024&lt;/Year&gt;&lt;RecNum&gt;2953&lt;/RecNum&gt;&lt;DisplayText&gt;(Curtis, 2024)&lt;/DisplayText&gt;&lt;record&gt;&lt;rec-number&gt;2953&lt;/rec-number&gt;&lt;foreign-keys&gt;&lt;key app="EN" db-id="zxrtwszvnew9f9e9p0vv0wfld5x2wxp9wzp5" timestamp="1739349097"&gt;2953&lt;/key&gt;&lt;/foreign-keys&gt;&lt;ref-type name="Report"&gt;27&lt;/ref-type&gt;&lt;contributors&gt;&lt;authors&gt;&lt;author&gt;William Curtis&lt;/author&gt;&lt;/authors&gt;&lt;tertiary-authors&gt;&lt;author&gt;IBISWorld&lt;/author&gt;&lt;/tertiary-authors&gt;&lt;/contributors&gt;&lt;titles&gt;&lt;title&gt;Data Processing &amp;amp; Hosting Services in the US&lt;/title&gt;&lt;/titles&gt;&lt;dates&gt;&lt;year&gt;2024&lt;/year&gt;&lt;/dates&gt;&lt;urls&gt;&lt;related-urls&gt;&lt;url&gt;https://my-ibisworld-com.trident.idm.oclc.org/us/en/industry/51821/at-a-glance&lt;/url&gt;&lt;/related-urls&gt;&lt;/urls&gt;&lt;/record&gt;&lt;/Cite&gt;&lt;/EndNote&gt;</w:instrText>
      </w:r>
      <w:r w:rsidR="00A12B0F">
        <w:rPr>
          <w:sz w:val="22"/>
          <w:szCs w:val="20"/>
        </w:rPr>
        <w:fldChar w:fldCharType="separate"/>
      </w:r>
      <w:r w:rsidR="00A12B0F">
        <w:rPr>
          <w:noProof/>
          <w:sz w:val="22"/>
          <w:szCs w:val="20"/>
        </w:rPr>
        <w:t>(Curtis, 2024)</w:t>
      </w:r>
      <w:r w:rsidR="00A12B0F">
        <w:rPr>
          <w:sz w:val="22"/>
          <w:szCs w:val="20"/>
        </w:rPr>
        <w:fldChar w:fldCharType="end"/>
      </w:r>
      <w:r w:rsidRPr="00850747">
        <w:rPr>
          <w:sz w:val="22"/>
          <w:szCs w:val="20"/>
        </w:rPr>
        <w:t>. A big reason for this growth is that cloud-based solutions are becoming more popular because they are flexible, scalable, and cost-effective</w:t>
      </w:r>
      <w:r w:rsidR="007520E2">
        <w:rPr>
          <w:sz w:val="22"/>
          <w:szCs w:val="20"/>
        </w:rPr>
        <w:t xml:space="preserve"> and m</w:t>
      </w:r>
      <w:r w:rsidRPr="00850747">
        <w:rPr>
          <w:sz w:val="22"/>
          <w:szCs w:val="20"/>
        </w:rPr>
        <w:t xml:space="preserve">ore and more, businesses in all kinds of industries are using public, private, and hybrid cloud services to make their operations better. Also, the popularity of AI applications requires a lot of data processing power, which has led to big investments in data </w:t>
      </w:r>
      <w:r w:rsidR="001A0324" w:rsidRPr="00850747">
        <w:rPr>
          <w:sz w:val="22"/>
          <w:szCs w:val="20"/>
        </w:rPr>
        <w:t>centers</w:t>
      </w:r>
      <w:r w:rsidRPr="00850747">
        <w:rPr>
          <w:sz w:val="22"/>
          <w:szCs w:val="20"/>
        </w:rPr>
        <w:t xml:space="preserve"> that focus on AI. As an example, OpenAI, SoftBank, and Oracle are part of a new $500 billion private-sector initiative to build AI data </w:t>
      </w:r>
      <w:r w:rsidR="001A0324" w:rsidRPr="00850747">
        <w:rPr>
          <w:sz w:val="22"/>
          <w:szCs w:val="20"/>
        </w:rPr>
        <w:t>centers</w:t>
      </w:r>
      <w:r w:rsidRPr="00850747">
        <w:rPr>
          <w:sz w:val="22"/>
          <w:szCs w:val="20"/>
        </w:rPr>
        <w:t xml:space="preserve"> in the U.S.</w:t>
      </w:r>
    </w:p>
    <w:p w14:paraId="5192D6F8" w14:textId="369E5DC8" w:rsidR="00850747" w:rsidRPr="00850747" w:rsidRDefault="00745A54" w:rsidP="00850747">
      <w:pPr>
        <w:spacing w:line="480" w:lineRule="auto"/>
        <w:ind w:firstLine="720"/>
        <w:rPr>
          <w:sz w:val="22"/>
          <w:szCs w:val="20"/>
        </w:rPr>
      </w:pPr>
      <w:r w:rsidRPr="00745A54">
        <w:rPr>
          <w:sz w:val="22"/>
          <w:szCs w:val="20"/>
        </w:rPr>
        <w:t>Increased mobile internet connections and Internet of Things (IoT) devices generate massive amounts of data that must be processed and stored efficiently, benefiting the industry</w:t>
      </w:r>
      <w:r w:rsidR="00850747" w:rsidRPr="00850747">
        <w:rPr>
          <w:sz w:val="22"/>
          <w:szCs w:val="20"/>
        </w:rPr>
        <w:t>. This trend shows how important edge computing is. Edge computing processes data closer to where it comes from to cut down on latency and boost performance</w:t>
      </w:r>
      <w:r w:rsidR="00393456">
        <w:rPr>
          <w:sz w:val="22"/>
          <w:szCs w:val="20"/>
        </w:rPr>
        <w:t xml:space="preserve"> </w:t>
      </w:r>
      <w:r w:rsidR="008610BF">
        <w:rPr>
          <w:sz w:val="22"/>
          <w:szCs w:val="20"/>
        </w:rPr>
        <w:fldChar w:fldCharType="begin"/>
      </w:r>
      <w:r w:rsidR="008610BF">
        <w:rPr>
          <w:sz w:val="22"/>
          <w:szCs w:val="20"/>
        </w:rPr>
        <w:instrText xml:space="preserve"> ADDIN EN.CITE &lt;EndNote&gt;&lt;Cite&gt;&lt;Author&gt;Curtis&lt;/Author&gt;&lt;Year&gt;2024&lt;/Year&gt;&lt;RecNum&gt;2953&lt;/RecNum&gt;&lt;DisplayText&gt;(Curtis, 2024)&lt;/DisplayText&gt;&lt;record&gt;&lt;rec-number&gt;2953&lt;/rec-number&gt;&lt;foreign-keys&gt;&lt;key app="EN" db-id="zxrtwszvnew9f9e9p0vv0wfld5x2wxp9wzp5" timestamp="1739349097"&gt;2953&lt;/key&gt;&lt;/foreign-keys&gt;&lt;ref-type name="Report"&gt;27&lt;/ref-type&gt;&lt;contributors&gt;&lt;authors&gt;&lt;author&gt;William Curtis&lt;/author&gt;&lt;/authors&gt;&lt;tertiary-authors&gt;&lt;author&gt;IBISWorld&lt;/author&gt;&lt;/tertiary-authors&gt;&lt;/contributors&gt;&lt;titles&gt;&lt;title&gt;Data Processing &amp;amp; Hosting Services in the US&lt;/title&gt;&lt;/titles&gt;&lt;dates&gt;&lt;year&gt;2024&lt;/year&gt;&lt;/dates&gt;&lt;urls&gt;&lt;related-urls&gt;&lt;url&gt;https://my-ibisworld-com.trident.idm.oclc.org/us/en/industry/51821/at-a-glance&lt;/url&gt;&lt;/related-urls&gt;&lt;/urls&gt;&lt;/record&gt;&lt;/Cite&gt;&lt;/EndNote&gt;</w:instrText>
      </w:r>
      <w:r w:rsidR="008610BF">
        <w:rPr>
          <w:sz w:val="22"/>
          <w:szCs w:val="20"/>
        </w:rPr>
        <w:fldChar w:fldCharType="separate"/>
      </w:r>
      <w:r w:rsidR="008610BF">
        <w:rPr>
          <w:noProof/>
          <w:sz w:val="22"/>
          <w:szCs w:val="20"/>
        </w:rPr>
        <w:t>(Curtis, 2024)</w:t>
      </w:r>
      <w:r w:rsidR="008610BF">
        <w:rPr>
          <w:sz w:val="22"/>
          <w:szCs w:val="20"/>
        </w:rPr>
        <w:fldChar w:fldCharType="end"/>
      </w:r>
      <w:r w:rsidR="00850747" w:rsidRPr="00850747">
        <w:rPr>
          <w:sz w:val="22"/>
          <w:szCs w:val="20"/>
        </w:rPr>
        <w:t>. Also, the growing importance of data security and following the rules creates both problems and chances, pushing businesses to spend money on strong security measures and legal data management methods.</w:t>
      </w:r>
    </w:p>
    <w:p w14:paraId="059D3BE8" w14:textId="235AF87D" w:rsidR="00850747" w:rsidRPr="00850747" w:rsidRDefault="00850747" w:rsidP="00184FBE">
      <w:pPr>
        <w:spacing w:line="480" w:lineRule="auto"/>
        <w:ind w:firstLine="720"/>
        <w:rPr>
          <w:sz w:val="22"/>
          <w:szCs w:val="20"/>
        </w:rPr>
      </w:pPr>
      <w:r w:rsidRPr="00850747">
        <w:rPr>
          <w:sz w:val="22"/>
          <w:szCs w:val="20"/>
        </w:rPr>
        <w:t xml:space="preserve">Data security and following the rules have also become very important in shaping </w:t>
      </w:r>
      <w:r w:rsidR="001A0324" w:rsidRPr="00850747">
        <w:rPr>
          <w:sz w:val="22"/>
          <w:szCs w:val="20"/>
        </w:rPr>
        <w:t>industry</w:t>
      </w:r>
      <w:r w:rsidRPr="00850747">
        <w:rPr>
          <w:sz w:val="22"/>
          <w:szCs w:val="20"/>
        </w:rPr>
        <w:t>. As the amount of data increases, so do worries about privacy, security, and following the rules</w:t>
      </w:r>
      <w:r w:rsidR="00615603">
        <w:rPr>
          <w:sz w:val="22"/>
          <w:szCs w:val="20"/>
        </w:rPr>
        <w:t xml:space="preserve"> </w:t>
      </w:r>
      <w:r w:rsidR="00BB3707">
        <w:rPr>
          <w:sz w:val="22"/>
          <w:szCs w:val="20"/>
        </w:rPr>
        <w:fldChar w:fldCharType="begin"/>
      </w:r>
      <w:r w:rsidR="00BB3707">
        <w:rPr>
          <w:sz w:val="22"/>
          <w:szCs w:val="20"/>
        </w:rPr>
        <w:instrText xml:space="preserve"> ADDIN EN.CITE &lt;EndNote&gt;&lt;Cite&gt;&lt;Author&gt;The University of Law&lt;/Author&gt;&lt;Year&gt;2024&lt;/Year&gt;&lt;RecNum&gt;2957&lt;/RecNum&gt;&lt;DisplayText&gt;(The University of Law, 2024)&lt;/DisplayText&gt;&lt;record&gt;&lt;rec-number&gt;2957&lt;/rec-number&gt;&lt;foreign-keys&gt;&lt;key app="EN" db-id="zxrtwszvnew9f9e9p0vv0wfld5x2wxp9wzp5" timestamp="1739350027"&gt;2957&lt;/key&gt;&lt;/foreign-keys&gt;&lt;ref-type name="Web Page"&gt;12&lt;/ref-type&gt;&lt;contributors&gt;&lt;authors&gt;&lt;author&gt;The University of Law,&lt;/author&gt;&lt;/authors&gt;&lt;/contributors&gt;&lt;titles&gt;&lt;title&gt;The importance of data privacy law in the digital age&lt;/title&gt;&lt;/titles&gt;&lt;volume&gt;2025&lt;/volume&gt;&lt;number&gt;12th February&lt;/number&gt;&lt;dates&gt;&lt;year&gt;2024&lt;/year&gt;&lt;/dates&gt;&lt;urls&gt;&lt;related-urls&gt;&lt;url&gt;https://www.law.ac.uk/resources/blog/the-importance-of-data-privacy-law-in-the-digital-age/&lt;/url&gt;&lt;/related-urls&gt;&lt;/urls&gt;&lt;/record&gt;&lt;/Cite&gt;&lt;/EndNote&gt;</w:instrText>
      </w:r>
      <w:r w:rsidR="00BB3707">
        <w:rPr>
          <w:sz w:val="22"/>
          <w:szCs w:val="20"/>
        </w:rPr>
        <w:fldChar w:fldCharType="separate"/>
      </w:r>
      <w:r w:rsidR="00BB3707">
        <w:rPr>
          <w:noProof/>
          <w:sz w:val="22"/>
          <w:szCs w:val="20"/>
        </w:rPr>
        <w:t>(The University of Law, 2024)</w:t>
      </w:r>
      <w:r w:rsidR="00BB3707">
        <w:rPr>
          <w:sz w:val="22"/>
          <w:szCs w:val="20"/>
        </w:rPr>
        <w:fldChar w:fldCharType="end"/>
      </w:r>
      <w:r w:rsidRPr="00850747">
        <w:rPr>
          <w:sz w:val="22"/>
          <w:szCs w:val="20"/>
        </w:rPr>
        <w:t>. Laws like the General Data Protection Regulation (GDPR)</w:t>
      </w:r>
      <w:r w:rsidR="00745A54">
        <w:rPr>
          <w:sz w:val="22"/>
          <w:szCs w:val="20"/>
        </w:rPr>
        <w:t xml:space="preserve"> and </w:t>
      </w:r>
      <w:r w:rsidR="00745A54" w:rsidRPr="00850747">
        <w:rPr>
          <w:sz w:val="22"/>
          <w:szCs w:val="20"/>
        </w:rPr>
        <w:t>California Consumer Privacy Act (CCPA)</w:t>
      </w:r>
      <w:r w:rsidRPr="00850747">
        <w:rPr>
          <w:sz w:val="22"/>
          <w:szCs w:val="20"/>
        </w:rPr>
        <w:t xml:space="preserve"> have made it more important to store data safely and handle it in a way that is compliant with the law. Businesses in this field need to keep putting money into cybersecurity measures to lower the risks that come with ransomware, data breaches, and new cyber threats.</w:t>
      </w:r>
    </w:p>
    <w:p w14:paraId="0A95F9FD" w14:textId="338485A8" w:rsidR="00F357C2" w:rsidRPr="00850747" w:rsidRDefault="00850747" w:rsidP="00850747">
      <w:pPr>
        <w:spacing w:line="480" w:lineRule="auto"/>
        <w:ind w:firstLine="720"/>
        <w:rPr>
          <w:sz w:val="22"/>
          <w:szCs w:val="20"/>
        </w:rPr>
      </w:pPr>
      <w:r w:rsidRPr="00850747">
        <w:rPr>
          <w:sz w:val="22"/>
          <w:szCs w:val="20"/>
        </w:rPr>
        <w:t>Businesses, governments, and consumers will continue to produce huge amounts of data, which is good news for the industry. As AI, cloud computing, and data security continue to get better, growth will continue to accelerate. This is why data processing and hosting services are so important to the digital economy</w:t>
      </w:r>
      <w:r w:rsidR="00F357C2">
        <w:rPr>
          <w:sz w:val="22"/>
          <w:szCs w:val="20"/>
          <w:lang w:val="en-PK"/>
        </w:rPr>
        <w:t xml:space="preserve">. </w:t>
      </w:r>
    </w:p>
    <w:p w14:paraId="766A7F5E" w14:textId="77777777" w:rsidR="00635453" w:rsidRPr="0066628E" w:rsidRDefault="00635453" w:rsidP="00635453">
      <w:pPr>
        <w:pStyle w:val="NormalWeb"/>
        <w:spacing w:before="0" w:beforeAutospacing="0" w:after="0" w:afterAutospacing="0" w:line="480" w:lineRule="auto"/>
        <w:jc w:val="center"/>
        <w:rPr>
          <w:b/>
          <w:bCs/>
          <w:sz w:val="22"/>
        </w:rPr>
      </w:pPr>
      <w:r w:rsidRPr="0066628E">
        <w:rPr>
          <w:b/>
          <w:bCs/>
          <w:sz w:val="22"/>
        </w:rPr>
        <w:lastRenderedPageBreak/>
        <w:t>Competitive Landscape</w:t>
      </w:r>
    </w:p>
    <w:p w14:paraId="44BA2027" w14:textId="11486925" w:rsidR="000D680B" w:rsidRPr="000D680B" w:rsidRDefault="000D680B" w:rsidP="000D680B">
      <w:pPr>
        <w:spacing w:line="480" w:lineRule="auto"/>
        <w:ind w:firstLine="720"/>
        <w:rPr>
          <w:sz w:val="22"/>
          <w:szCs w:val="20"/>
          <w:lang w:val="en-PK"/>
        </w:rPr>
      </w:pPr>
      <w:r w:rsidRPr="000D680B">
        <w:rPr>
          <w:sz w:val="22"/>
          <w:szCs w:val="20"/>
          <w:lang w:val="en-PK"/>
        </w:rPr>
        <w:t>The U.S. Data Processing &amp; Hosting Services industry is characterised by intense competition, moderate market concentration, and growing regulatory scrutiny. Major players dominate revenue generation, with price, uptime reliability, and total capacity determining competition. Service differentiation is limited, contributing to high competition despite these factors.</w:t>
      </w:r>
      <w:r>
        <w:rPr>
          <w:sz w:val="22"/>
          <w:szCs w:val="20"/>
          <w:lang w:val="en-PK"/>
        </w:rPr>
        <w:t xml:space="preserve"> </w:t>
      </w:r>
      <w:r w:rsidRPr="000D680B">
        <w:rPr>
          <w:sz w:val="22"/>
          <w:szCs w:val="20"/>
          <w:lang w:val="en-PK"/>
        </w:rPr>
        <w:t>Due to high data centre startup costs, market share concentration is moderate</w:t>
      </w:r>
      <w:r w:rsidR="00161366">
        <w:rPr>
          <w:sz w:val="22"/>
          <w:szCs w:val="20"/>
          <w:lang w:val="en-PK"/>
        </w:rPr>
        <w:t xml:space="preserve"> </w:t>
      </w:r>
      <w:r w:rsidR="00161366">
        <w:rPr>
          <w:sz w:val="22"/>
          <w:szCs w:val="20"/>
          <w:lang w:val="en-PK"/>
        </w:rPr>
        <w:fldChar w:fldCharType="begin"/>
      </w:r>
      <w:r w:rsidR="00161366">
        <w:rPr>
          <w:sz w:val="22"/>
          <w:szCs w:val="20"/>
          <w:lang w:val="en-PK"/>
        </w:rPr>
        <w:instrText xml:space="preserve"> ADDIN EN.CITE &lt;EndNote&gt;&lt;Cite&gt;&lt;Author&gt;Curtis&lt;/Author&gt;&lt;Year&gt;2024&lt;/Year&gt;&lt;RecNum&gt;2953&lt;/RecNum&gt;&lt;DisplayText&gt;(Curtis, 2024)&lt;/DisplayText&gt;&lt;record&gt;&lt;rec-number&gt;2953&lt;/rec-number&gt;&lt;foreign-keys&gt;&lt;key app="EN" db-id="zxrtwszvnew9f9e9p0vv0wfld5x2wxp9wzp5" timestamp="1739349097"&gt;2953&lt;/key&gt;&lt;/foreign-keys&gt;&lt;ref-type name="Report"&gt;27&lt;/ref-type&gt;&lt;contributors&gt;&lt;authors&gt;&lt;author&gt;William Curtis&lt;/author&gt;&lt;/authors&gt;&lt;tertiary-authors&gt;&lt;author&gt;IBISWorld&lt;/author&gt;&lt;/tertiary-authors&gt;&lt;/contributors&gt;&lt;titles&gt;&lt;title&gt;Data Processing &amp;amp; Hosting Services in the US&lt;/title&gt;&lt;/titles&gt;&lt;dates&gt;&lt;year&gt;2024&lt;/year&gt;&lt;/dates&gt;&lt;urls&gt;&lt;related-urls&gt;&lt;url&gt;https://my-ibisworld-com.trident.idm.oclc.org/us/en/industry/51821/at-a-glance&lt;/url&gt;&lt;/related-urls&gt;&lt;/urls&gt;&lt;/record&gt;&lt;/Cite&gt;&lt;/EndNote&gt;</w:instrText>
      </w:r>
      <w:r w:rsidR="00161366">
        <w:rPr>
          <w:sz w:val="22"/>
          <w:szCs w:val="20"/>
          <w:lang w:val="en-PK"/>
        </w:rPr>
        <w:fldChar w:fldCharType="separate"/>
      </w:r>
      <w:r w:rsidR="00161366">
        <w:rPr>
          <w:noProof/>
          <w:sz w:val="22"/>
          <w:szCs w:val="20"/>
          <w:lang w:val="en-PK"/>
        </w:rPr>
        <w:t>(Curtis, 2024)</w:t>
      </w:r>
      <w:r w:rsidR="00161366">
        <w:rPr>
          <w:sz w:val="22"/>
          <w:szCs w:val="20"/>
          <w:lang w:val="en-PK"/>
        </w:rPr>
        <w:fldChar w:fldCharType="end"/>
      </w:r>
      <w:r w:rsidRPr="000D680B">
        <w:rPr>
          <w:sz w:val="22"/>
          <w:szCs w:val="20"/>
          <w:lang w:val="en-PK"/>
        </w:rPr>
        <w:t>. Large companies dominate the sector by using scale and strategic locations to compete. Despite high capital investment and legal compliance challenges, firms with sufficient resources and regulatory compliance can enter the industry. Recent lawsuits and fines against Google and Amazon show that the regulatory environment, especially in Europe and some U.S. states, challenges concentrated data providers.</w:t>
      </w:r>
    </w:p>
    <w:p w14:paraId="6EA5274A" w14:textId="105F8FF0" w:rsidR="00635453" w:rsidRPr="00563DF4" w:rsidRDefault="000D680B" w:rsidP="000D680B">
      <w:pPr>
        <w:spacing w:line="480" w:lineRule="auto"/>
        <w:ind w:firstLine="720"/>
        <w:rPr>
          <w:sz w:val="22"/>
          <w:szCs w:val="20"/>
          <w:lang w:val="en-PK"/>
        </w:rPr>
      </w:pPr>
      <w:r w:rsidRPr="000D680B">
        <w:rPr>
          <w:sz w:val="22"/>
          <w:szCs w:val="20"/>
          <w:lang w:val="en-PK"/>
        </w:rPr>
        <w:t>Moderate buyer-supplier power exists in the industry. Clients can negotiate prices and switch providers, but many data processing firms mitigate this risk with long-term contracts and specialised services. Hardware suppliers like Nvidia have strong leverage due to their control over high-performance computing components. To avoid external suppliers, some companies are investing in proprietary hardware solutions.</w:t>
      </w:r>
      <w:r>
        <w:rPr>
          <w:sz w:val="22"/>
          <w:szCs w:val="20"/>
          <w:lang w:val="en-PK"/>
        </w:rPr>
        <w:t xml:space="preserve"> </w:t>
      </w:r>
      <w:r w:rsidRPr="000D680B">
        <w:rPr>
          <w:sz w:val="22"/>
          <w:szCs w:val="20"/>
          <w:lang w:val="en-PK"/>
        </w:rPr>
        <w:t>This industry has few substitutes. Companies can internally process data, but the costs and complexity often outweigh the benefits of outsourcing. To stay ahead of competitors, industry players focus on pricing and service customisation.</w:t>
      </w:r>
      <w:r>
        <w:rPr>
          <w:sz w:val="22"/>
          <w:szCs w:val="20"/>
          <w:lang w:val="en-PK"/>
        </w:rPr>
        <w:t xml:space="preserve"> </w:t>
      </w:r>
      <w:r w:rsidRPr="000D680B">
        <w:rPr>
          <w:sz w:val="22"/>
          <w:szCs w:val="20"/>
          <w:lang w:val="en-PK"/>
        </w:rPr>
        <w:t>The Data Processing &amp; Hosting Services industry has high competition, moderate entry barriers, and growing regulation</w:t>
      </w:r>
      <w:r w:rsidR="005C47EE">
        <w:rPr>
          <w:sz w:val="22"/>
          <w:szCs w:val="20"/>
          <w:lang w:val="en-PK"/>
        </w:rPr>
        <w:t xml:space="preserve"> </w:t>
      </w:r>
      <w:r w:rsidR="005C47EE">
        <w:rPr>
          <w:sz w:val="22"/>
          <w:szCs w:val="20"/>
          <w:lang w:val="en-PK"/>
        </w:rPr>
        <w:fldChar w:fldCharType="begin"/>
      </w:r>
      <w:r w:rsidR="005C47EE">
        <w:rPr>
          <w:sz w:val="22"/>
          <w:szCs w:val="20"/>
          <w:lang w:val="en-PK"/>
        </w:rPr>
        <w:instrText xml:space="preserve"> ADDIN EN.CITE &lt;EndNote&gt;&lt;Cite&gt;&lt;Author&gt;CMA&lt;/Author&gt;&lt;Year&gt;2024&lt;/Year&gt;&lt;RecNum&gt;2958&lt;/RecNum&gt;&lt;DisplayText&gt;(CMA, 2024)&lt;/DisplayText&gt;&lt;record&gt;&lt;rec-number&gt;2958&lt;/rec-number&gt;&lt;foreign-keys&gt;&lt;key app="EN" db-id="zxrtwszvnew9f9e9p0vv0wfld5x2wxp9wzp5" timestamp="1739350230"&gt;2958&lt;/key&gt;&lt;/foreign-keys&gt;&lt;ref-type name="Web Page"&gt;12&lt;/ref-type&gt;&lt;contributors&gt;&lt;authors&gt;&lt;author&gt;CMA,&lt;/author&gt;&lt;/authors&gt;&lt;/contributors&gt;&lt;titles&gt;&lt;title&gt;The State of UK Competition Report 2024&lt;/title&gt;&lt;/titles&gt;&lt;volume&gt;2025&lt;/volume&gt;&lt;number&gt;12th February&lt;/number&gt;&lt;dates&gt;&lt;year&gt;2024&lt;/year&gt;&lt;/dates&gt;&lt;urls&gt;&lt;related-urls&gt;&lt;url&gt;https://www.gov.uk/government/publications/the-state-of-uk-competition-report-2024/the-state-of-uk-competition-report-2024&lt;/url&gt;&lt;/related-urls&gt;&lt;/urls&gt;&lt;/record&gt;&lt;/Cite&gt;&lt;/EndNote&gt;</w:instrText>
      </w:r>
      <w:r w:rsidR="005C47EE">
        <w:rPr>
          <w:sz w:val="22"/>
          <w:szCs w:val="20"/>
          <w:lang w:val="en-PK"/>
        </w:rPr>
        <w:fldChar w:fldCharType="separate"/>
      </w:r>
      <w:r w:rsidR="005C47EE">
        <w:rPr>
          <w:noProof/>
          <w:sz w:val="22"/>
          <w:szCs w:val="20"/>
          <w:lang w:val="en-PK"/>
        </w:rPr>
        <w:t>(CMA, 2024)</w:t>
      </w:r>
      <w:r w:rsidR="005C47EE">
        <w:rPr>
          <w:sz w:val="22"/>
          <w:szCs w:val="20"/>
          <w:lang w:val="en-PK"/>
        </w:rPr>
        <w:fldChar w:fldCharType="end"/>
      </w:r>
      <w:r w:rsidRPr="000D680B">
        <w:rPr>
          <w:sz w:val="22"/>
          <w:szCs w:val="20"/>
          <w:lang w:val="en-PK"/>
        </w:rPr>
        <w:t>. Companies that overcome these challenges often achieve economies of scale, clear market positions, and long-term contracts to maintain stability in an evolving market</w:t>
      </w:r>
      <w:r w:rsidR="00635453" w:rsidRPr="0066628E">
        <w:rPr>
          <w:sz w:val="22"/>
          <w:szCs w:val="20"/>
        </w:rPr>
        <w:t>.</w:t>
      </w:r>
    </w:p>
    <w:p w14:paraId="50E142AF" w14:textId="77777777" w:rsidR="00635453" w:rsidRPr="0066628E" w:rsidRDefault="00635453" w:rsidP="00635453">
      <w:pPr>
        <w:pStyle w:val="NormalWeb"/>
        <w:spacing w:before="0" w:beforeAutospacing="0" w:after="0" w:afterAutospacing="0" w:line="480" w:lineRule="auto"/>
        <w:jc w:val="center"/>
        <w:rPr>
          <w:b/>
          <w:bCs/>
          <w:sz w:val="22"/>
        </w:rPr>
      </w:pPr>
      <w:r w:rsidRPr="0066628E">
        <w:rPr>
          <w:b/>
          <w:bCs/>
          <w:sz w:val="22"/>
        </w:rPr>
        <w:t>Operating Conditions</w:t>
      </w:r>
    </w:p>
    <w:p w14:paraId="4543621D" w14:textId="77777777" w:rsidR="00506827" w:rsidRPr="00506827" w:rsidRDefault="00506827" w:rsidP="00506827">
      <w:pPr>
        <w:spacing w:line="480" w:lineRule="auto"/>
        <w:ind w:firstLine="720"/>
        <w:rPr>
          <w:sz w:val="22"/>
          <w:szCs w:val="20"/>
          <w:lang w:val="en-PK"/>
        </w:rPr>
      </w:pPr>
      <w:r w:rsidRPr="00506827">
        <w:rPr>
          <w:sz w:val="22"/>
          <w:szCs w:val="20"/>
          <w:lang w:val="en-PK"/>
        </w:rPr>
        <w:t xml:space="preserve">Changes in regulations, digital dependence, and macroeconomic trends affect the U.S. Data Processing &amp; Hosting Services industry. User transparency and security are the main regulatory goals of consumer data protection. California Consumer Privacy Act (CCPA), GDPR, HIPAA, and PCI DSS are major industry regulations. These regulations restrict data handling, storage, and security, presenting </w:t>
      </w:r>
      <w:r w:rsidRPr="00506827">
        <w:rPr>
          <w:sz w:val="22"/>
          <w:szCs w:val="20"/>
          <w:lang w:val="en-PK"/>
        </w:rPr>
        <w:lastRenderedPageBreak/>
        <w:t>challenges and opportunities for industry businesses. Compliance requirements can raise operational costs, but they boost consumer trust and let companies differentiate with strong security.</w:t>
      </w:r>
    </w:p>
    <w:p w14:paraId="3A8D0D21" w14:textId="5A89914B" w:rsidR="00506827" w:rsidRPr="00506827" w:rsidRDefault="00506827" w:rsidP="00506827">
      <w:pPr>
        <w:spacing w:line="480" w:lineRule="auto"/>
        <w:ind w:firstLine="720"/>
        <w:rPr>
          <w:sz w:val="22"/>
          <w:szCs w:val="20"/>
          <w:lang w:val="en-PK"/>
        </w:rPr>
      </w:pPr>
      <w:r w:rsidRPr="00506827">
        <w:rPr>
          <w:sz w:val="22"/>
          <w:szCs w:val="20"/>
          <w:lang w:val="en-PK"/>
        </w:rPr>
        <w:t>External factors strongly influence industry growth and operations. As e-commerce and digital transactions grow, companies need secure and scalable storage solutions for data processing and hosting. Industry providers have more opportunities as businesses use cloud-based and location-dependent services and mobile internet connections increase</w:t>
      </w:r>
      <w:r w:rsidR="00017840">
        <w:rPr>
          <w:sz w:val="22"/>
          <w:szCs w:val="20"/>
          <w:lang w:val="en-PK"/>
        </w:rPr>
        <w:t xml:space="preserve"> </w:t>
      </w:r>
      <w:r w:rsidR="00017840">
        <w:rPr>
          <w:sz w:val="22"/>
          <w:szCs w:val="20"/>
          <w:lang w:val="en-PK"/>
        </w:rPr>
        <w:fldChar w:fldCharType="begin"/>
      </w:r>
      <w:r w:rsidR="00017840">
        <w:rPr>
          <w:sz w:val="22"/>
          <w:szCs w:val="20"/>
          <w:lang w:val="en-PK"/>
        </w:rPr>
        <w:instrText xml:space="preserve"> ADDIN EN.CITE &lt;EndNote&gt;&lt;Cite&gt;&lt;Author&gt;Curtis&lt;/Author&gt;&lt;Year&gt;2024&lt;/Year&gt;&lt;RecNum&gt;2953&lt;/RecNum&gt;&lt;DisplayText&gt;(Curtis, 2024)&lt;/DisplayText&gt;&lt;record&gt;&lt;rec-number&gt;2953&lt;/rec-number&gt;&lt;foreign-keys&gt;&lt;key app="EN" db-id="zxrtwszvnew9f9e9p0vv0wfld5x2wxp9wzp5" timestamp="1739349097"&gt;2953&lt;/key&gt;&lt;/foreign-keys&gt;&lt;ref-type name="Report"&gt;27&lt;/ref-type&gt;&lt;contributors&gt;&lt;authors&gt;&lt;author&gt;William Curtis&lt;/author&gt;&lt;/authors&gt;&lt;tertiary-authors&gt;&lt;author&gt;IBISWorld&lt;/author&gt;&lt;/tertiary-authors&gt;&lt;/contributors&gt;&lt;titles&gt;&lt;title&gt;Data Processing &amp;amp; Hosting Services in the US&lt;/title&gt;&lt;/titles&gt;&lt;dates&gt;&lt;year&gt;2024&lt;/year&gt;&lt;/dates&gt;&lt;urls&gt;&lt;related-urls&gt;&lt;url&gt;https://my-ibisworld-com.trident.idm.oclc.org/us/en/industry/51821/at-a-glance&lt;/url&gt;&lt;/related-urls&gt;&lt;/urls&gt;&lt;/record&gt;&lt;/Cite&gt;&lt;/EndNote&gt;</w:instrText>
      </w:r>
      <w:r w:rsidR="00017840">
        <w:rPr>
          <w:sz w:val="22"/>
          <w:szCs w:val="20"/>
          <w:lang w:val="en-PK"/>
        </w:rPr>
        <w:fldChar w:fldCharType="separate"/>
      </w:r>
      <w:r w:rsidR="00017840">
        <w:rPr>
          <w:noProof/>
          <w:sz w:val="22"/>
          <w:szCs w:val="20"/>
          <w:lang w:val="en-PK"/>
        </w:rPr>
        <w:t>(Curtis, 2024)</w:t>
      </w:r>
      <w:r w:rsidR="00017840">
        <w:rPr>
          <w:sz w:val="22"/>
          <w:szCs w:val="20"/>
          <w:lang w:val="en-PK"/>
        </w:rPr>
        <w:fldChar w:fldCharType="end"/>
      </w:r>
      <w:r w:rsidRPr="00506827">
        <w:rPr>
          <w:sz w:val="22"/>
          <w:szCs w:val="20"/>
          <w:lang w:val="en-PK"/>
        </w:rPr>
        <w:t>. Computer and peripheral prices affect industry growth, as lower prices allow firms to expand infrastructure and improve services. However, rising hardware costs may limit investment and technological advancements.</w:t>
      </w:r>
      <w:r>
        <w:rPr>
          <w:sz w:val="22"/>
          <w:szCs w:val="20"/>
          <w:lang w:val="en-PK"/>
        </w:rPr>
        <w:t xml:space="preserve"> </w:t>
      </w:r>
      <w:r w:rsidRPr="00506827">
        <w:rPr>
          <w:sz w:val="22"/>
          <w:szCs w:val="20"/>
          <w:lang w:val="en-PK"/>
        </w:rPr>
        <w:t>The industry also relies on internet publishing, broadcasting, and finance. As digital media consumption rises, data processing firms must expand to handle more data. Tech infrastructure investment is heavily influenced by economic factors like the S&amp;P 500. During economic growth, businesses invest more in data processing services, while downturns may cut budgets and IT spending.</w:t>
      </w:r>
    </w:p>
    <w:p w14:paraId="6533DCB5" w14:textId="2970F823" w:rsidR="004263C0" w:rsidRPr="004263C0" w:rsidRDefault="00506827" w:rsidP="00506827">
      <w:pPr>
        <w:spacing w:line="480" w:lineRule="auto"/>
        <w:ind w:firstLine="720"/>
        <w:rPr>
          <w:sz w:val="22"/>
          <w:szCs w:val="20"/>
          <w:lang w:val="en-PK"/>
        </w:rPr>
      </w:pPr>
      <w:r w:rsidRPr="00506827">
        <w:rPr>
          <w:sz w:val="22"/>
          <w:szCs w:val="20"/>
          <w:lang w:val="en-PK"/>
        </w:rPr>
        <w:t>The industry receives little government aid, but large data processing companies receive large tax breaks when building data centres. Cities compete to attract tech giants with these incentives. Many technology industry associations support non-government organisations, especially in cloud computing and infrastructure services.</w:t>
      </w:r>
      <w:r>
        <w:rPr>
          <w:sz w:val="22"/>
          <w:szCs w:val="20"/>
          <w:lang w:val="en-PK"/>
        </w:rPr>
        <w:t xml:space="preserve"> </w:t>
      </w:r>
      <w:r w:rsidRPr="00506827">
        <w:rPr>
          <w:sz w:val="22"/>
          <w:szCs w:val="20"/>
          <w:lang w:val="en-PK"/>
        </w:rPr>
        <w:t>Regulatory pressures, economic conditions, and technological advances shape the Data Processing &amp; Hosting Services industry</w:t>
      </w:r>
      <w:r w:rsidR="00017840">
        <w:rPr>
          <w:sz w:val="22"/>
          <w:szCs w:val="20"/>
          <w:lang w:val="en-PK"/>
        </w:rPr>
        <w:t xml:space="preserve"> </w:t>
      </w:r>
      <w:r w:rsidR="00017840">
        <w:rPr>
          <w:sz w:val="22"/>
          <w:szCs w:val="20"/>
          <w:lang w:val="en-PK"/>
        </w:rPr>
        <w:fldChar w:fldCharType="begin"/>
      </w:r>
      <w:r w:rsidR="00017840">
        <w:rPr>
          <w:sz w:val="22"/>
          <w:szCs w:val="20"/>
          <w:lang w:val="en-PK"/>
        </w:rPr>
        <w:instrText xml:space="preserve"> ADDIN EN.CITE &lt;EndNote&gt;&lt;Cite&gt;&lt;Author&gt;Curtis&lt;/Author&gt;&lt;Year&gt;2024&lt;/Year&gt;&lt;RecNum&gt;2953&lt;/RecNum&gt;&lt;DisplayText&gt;(Curtis, 2024)&lt;/DisplayText&gt;&lt;record&gt;&lt;rec-number&gt;2953&lt;/rec-number&gt;&lt;foreign-keys&gt;&lt;key app="EN" db-id="zxrtwszvnew9f9e9p0vv0wfld5x2wxp9wzp5" timestamp="1739349097"&gt;2953&lt;/key&gt;&lt;/foreign-keys&gt;&lt;ref-type name="Report"&gt;27&lt;/ref-type&gt;&lt;contributors&gt;&lt;authors&gt;&lt;author&gt;William Curtis&lt;/author&gt;&lt;/authors&gt;&lt;tertiary-authors&gt;&lt;author&gt;IBISWorld&lt;/author&gt;&lt;/tertiary-authors&gt;&lt;/contributors&gt;&lt;titles&gt;&lt;title&gt;Data Processing &amp;amp; Hosting Services in the US&lt;/title&gt;&lt;/titles&gt;&lt;dates&gt;&lt;year&gt;2024&lt;/year&gt;&lt;/dates&gt;&lt;urls&gt;&lt;related-urls&gt;&lt;url&gt;https://my-ibisworld-com.trident.idm.oclc.org/us/en/industry/51821/at-a-glance&lt;/url&gt;&lt;/related-urls&gt;&lt;/urls&gt;&lt;/record&gt;&lt;/Cite&gt;&lt;/EndNote&gt;</w:instrText>
      </w:r>
      <w:r w:rsidR="00017840">
        <w:rPr>
          <w:sz w:val="22"/>
          <w:szCs w:val="20"/>
          <w:lang w:val="en-PK"/>
        </w:rPr>
        <w:fldChar w:fldCharType="separate"/>
      </w:r>
      <w:r w:rsidR="00017840">
        <w:rPr>
          <w:noProof/>
          <w:sz w:val="22"/>
          <w:szCs w:val="20"/>
          <w:lang w:val="en-PK"/>
        </w:rPr>
        <w:t>(Curtis, 2024)</w:t>
      </w:r>
      <w:r w:rsidR="00017840">
        <w:rPr>
          <w:sz w:val="22"/>
          <w:szCs w:val="20"/>
          <w:lang w:val="en-PK"/>
        </w:rPr>
        <w:fldChar w:fldCharType="end"/>
      </w:r>
      <w:r w:rsidRPr="00506827">
        <w:rPr>
          <w:sz w:val="22"/>
          <w:szCs w:val="20"/>
          <w:lang w:val="en-PK"/>
        </w:rPr>
        <w:t>. In this competitive and rapidly changing industry, companies that successfully navigate compliance, invest in scalable infrastructure, and adapt to digital trends will succeed</w:t>
      </w:r>
      <w:r w:rsidR="004263C0" w:rsidRPr="004263C0">
        <w:rPr>
          <w:sz w:val="22"/>
          <w:szCs w:val="20"/>
          <w:lang w:val="en-PK"/>
        </w:rPr>
        <w:t>.</w:t>
      </w:r>
    </w:p>
    <w:p w14:paraId="531BDD24" w14:textId="77777777" w:rsidR="00635453" w:rsidRPr="0066628E" w:rsidRDefault="00635453" w:rsidP="00635453">
      <w:pPr>
        <w:pStyle w:val="NormalWeb"/>
        <w:spacing w:before="0" w:beforeAutospacing="0" w:after="0" w:afterAutospacing="0" w:line="480" w:lineRule="auto"/>
        <w:jc w:val="center"/>
        <w:rPr>
          <w:b/>
          <w:bCs/>
          <w:sz w:val="22"/>
        </w:rPr>
      </w:pPr>
      <w:r w:rsidRPr="0066628E">
        <w:rPr>
          <w:b/>
          <w:bCs/>
          <w:sz w:val="22"/>
        </w:rPr>
        <w:t>Key Statistics: Industry Financial Ratios</w:t>
      </w:r>
    </w:p>
    <w:p w14:paraId="3006887C" w14:textId="3C7858E7" w:rsidR="00506827" w:rsidRPr="00506827" w:rsidRDefault="00506827" w:rsidP="00506827">
      <w:pPr>
        <w:spacing w:line="480" w:lineRule="auto"/>
        <w:ind w:firstLine="720"/>
        <w:rPr>
          <w:sz w:val="22"/>
          <w:szCs w:val="20"/>
        </w:rPr>
      </w:pPr>
      <w:r w:rsidRPr="00506827">
        <w:rPr>
          <w:sz w:val="22"/>
          <w:szCs w:val="20"/>
        </w:rPr>
        <w:t>The Data Processing &amp; Hosting Services industry in the United States has grown significantly over the last two decades, with consistent increases in revenue, industry value-added (IVA), and employment. In 2004, the industry generated $87.7 billion in revenue, and by 2024, it is expected to reach $291.4 billion, indicating a strong compound annual growth rate</w:t>
      </w:r>
      <w:r w:rsidR="00017840">
        <w:rPr>
          <w:sz w:val="22"/>
          <w:szCs w:val="20"/>
        </w:rPr>
        <w:t xml:space="preserve"> </w:t>
      </w:r>
      <w:r w:rsidR="00017840">
        <w:rPr>
          <w:sz w:val="22"/>
          <w:szCs w:val="20"/>
        </w:rPr>
        <w:fldChar w:fldCharType="begin"/>
      </w:r>
      <w:r w:rsidR="00017840">
        <w:rPr>
          <w:sz w:val="22"/>
          <w:szCs w:val="20"/>
        </w:rPr>
        <w:instrText xml:space="preserve"> ADDIN EN.CITE &lt;EndNote&gt;&lt;Cite&gt;&lt;Author&gt;Curtis&lt;/Author&gt;&lt;Year&gt;2024&lt;/Year&gt;&lt;RecNum&gt;2953&lt;/RecNum&gt;&lt;DisplayText&gt;(Curtis, 2024)&lt;/DisplayText&gt;&lt;record&gt;&lt;rec-number&gt;2953&lt;/rec-number&gt;&lt;foreign-keys&gt;&lt;key app="EN" db-id="zxrtwszvnew9f9e9p0vv0wfld5x2wxp9wzp5" timestamp="1739349097"&gt;2953&lt;/key&gt;&lt;/foreign-keys&gt;&lt;ref-type name="Report"&gt;27&lt;/ref-type&gt;&lt;contributors&gt;&lt;authors&gt;&lt;author&gt;William Curtis&lt;/author&gt;&lt;/authors&gt;&lt;tertiary-authors&gt;&lt;author&gt;IBISWorld&lt;/author&gt;&lt;/tertiary-authors&gt;&lt;/contributors&gt;&lt;titles&gt;&lt;title&gt;Data Processing &amp;amp; Hosting Services in the US&lt;/title&gt;&lt;/titles&gt;&lt;dates&gt;&lt;year&gt;2024&lt;/year&gt;&lt;/dates&gt;&lt;urls&gt;&lt;related-urls&gt;&lt;url&gt;https://my-ibisworld-com.trident.idm.oclc.org/us/en/industry/51821/at-a-glance&lt;/url&gt;&lt;/related-urls&gt;&lt;/urls&gt;&lt;/record&gt;&lt;/Cite&gt;&lt;/EndNote&gt;</w:instrText>
      </w:r>
      <w:r w:rsidR="00017840">
        <w:rPr>
          <w:sz w:val="22"/>
          <w:szCs w:val="20"/>
        </w:rPr>
        <w:fldChar w:fldCharType="separate"/>
      </w:r>
      <w:r w:rsidR="00017840">
        <w:rPr>
          <w:noProof/>
          <w:sz w:val="22"/>
          <w:szCs w:val="20"/>
        </w:rPr>
        <w:t>(Curtis, 2024)</w:t>
      </w:r>
      <w:r w:rsidR="00017840">
        <w:rPr>
          <w:sz w:val="22"/>
          <w:szCs w:val="20"/>
        </w:rPr>
        <w:fldChar w:fldCharType="end"/>
      </w:r>
      <w:r w:rsidRPr="00506827">
        <w:rPr>
          <w:sz w:val="22"/>
          <w:szCs w:val="20"/>
        </w:rPr>
        <w:t>. The number of establishments has also increased significantly, rising from 46,987 in 2004 to an expected 62,977 in 2024, indicating a growing demand for data-related services.</w:t>
      </w:r>
    </w:p>
    <w:p w14:paraId="05AECB47" w14:textId="7CDFBF9B" w:rsidR="00506827" w:rsidRPr="00506827" w:rsidRDefault="00506827" w:rsidP="00506827">
      <w:pPr>
        <w:spacing w:line="480" w:lineRule="auto"/>
        <w:ind w:firstLine="720"/>
        <w:rPr>
          <w:sz w:val="22"/>
          <w:szCs w:val="20"/>
        </w:rPr>
      </w:pPr>
      <w:r w:rsidRPr="00506827">
        <w:rPr>
          <w:sz w:val="22"/>
          <w:szCs w:val="20"/>
        </w:rPr>
        <w:lastRenderedPageBreak/>
        <w:t>Industry Value Added (IVA), a key indicator of the sector's economic contribution, has followed revenue growth, rising from $43.2 billion in 2005 to $126.7 billion in 2024</w:t>
      </w:r>
      <w:r w:rsidR="000F0237">
        <w:rPr>
          <w:sz w:val="22"/>
          <w:szCs w:val="20"/>
        </w:rPr>
        <w:t xml:space="preserve"> and t</w:t>
      </w:r>
      <w:r w:rsidRPr="00506827">
        <w:rPr>
          <w:sz w:val="22"/>
          <w:szCs w:val="20"/>
        </w:rPr>
        <w:t xml:space="preserve">his trend demonstrates the industry's growing importance in the overall economy. Employment has also increased, from approximately 398,839 workers in 2004 to an estimated 704,108 by </w:t>
      </w:r>
      <w:r w:rsidR="009418F5" w:rsidRPr="00506827">
        <w:rPr>
          <w:sz w:val="22"/>
          <w:szCs w:val="20"/>
        </w:rPr>
        <w:t>2024,</w:t>
      </w:r>
      <w:r w:rsidR="000F0237">
        <w:rPr>
          <w:sz w:val="22"/>
          <w:szCs w:val="20"/>
        </w:rPr>
        <w:t xml:space="preserve"> which demonstrates </w:t>
      </w:r>
      <w:r w:rsidRPr="00506827">
        <w:rPr>
          <w:sz w:val="22"/>
          <w:szCs w:val="20"/>
        </w:rPr>
        <w:t xml:space="preserve">the sector's role as a major job creator. Along with job growth, total wages have risen significantly, from $34.9 billion in 2004 to $93.9 billion in 2024, indicating rising </w:t>
      </w:r>
      <w:r w:rsidR="001A0324" w:rsidRPr="00506827">
        <w:rPr>
          <w:sz w:val="22"/>
          <w:szCs w:val="20"/>
        </w:rPr>
        <w:t>labor</w:t>
      </w:r>
      <w:r w:rsidRPr="00506827">
        <w:rPr>
          <w:sz w:val="22"/>
          <w:szCs w:val="20"/>
        </w:rPr>
        <w:t xml:space="preserve"> demand and higher wage expenditures in the industry.</w:t>
      </w:r>
    </w:p>
    <w:p w14:paraId="1DB9082F" w14:textId="21F59570" w:rsidR="00506827" w:rsidRPr="00506827" w:rsidRDefault="009418F5" w:rsidP="00506827">
      <w:pPr>
        <w:spacing w:line="480" w:lineRule="auto"/>
        <w:ind w:firstLine="720"/>
        <w:rPr>
          <w:sz w:val="22"/>
          <w:szCs w:val="20"/>
        </w:rPr>
      </w:pPr>
      <w:r>
        <w:rPr>
          <w:sz w:val="22"/>
          <w:szCs w:val="20"/>
        </w:rPr>
        <w:t>Its</w:t>
      </w:r>
      <w:r w:rsidR="00506827" w:rsidRPr="00506827">
        <w:rPr>
          <w:sz w:val="22"/>
          <w:szCs w:val="20"/>
        </w:rPr>
        <w:t xml:space="preserve"> financial performance remains strong, with continued growth expected. By 2029, revenue is expected to exceed $339.9 billion, with IVA reaching $155.5 billion</w:t>
      </w:r>
      <w:r>
        <w:rPr>
          <w:sz w:val="22"/>
          <w:szCs w:val="20"/>
        </w:rPr>
        <w:t xml:space="preserve"> and t</w:t>
      </w:r>
      <w:r w:rsidR="00506827" w:rsidRPr="00506827">
        <w:rPr>
          <w:sz w:val="22"/>
          <w:szCs w:val="20"/>
        </w:rPr>
        <w:t>he number of businesses is expected to increase to 60,722 by the same year, highlighting the industry's competitive and fragmented nature. Employment and wage growth are also expected to continue, with industry jobs surpassing 811,650 and total wages exceeding $108.5 billion</w:t>
      </w:r>
      <w:r w:rsidR="00017840">
        <w:rPr>
          <w:sz w:val="22"/>
          <w:szCs w:val="20"/>
        </w:rPr>
        <w:t xml:space="preserve"> </w:t>
      </w:r>
      <w:r w:rsidR="00017840">
        <w:rPr>
          <w:sz w:val="22"/>
          <w:szCs w:val="20"/>
        </w:rPr>
        <w:fldChar w:fldCharType="begin"/>
      </w:r>
      <w:r w:rsidR="00017840">
        <w:rPr>
          <w:sz w:val="22"/>
          <w:szCs w:val="20"/>
        </w:rPr>
        <w:instrText xml:space="preserve"> ADDIN EN.CITE &lt;EndNote&gt;&lt;Cite&gt;&lt;Author&gt;Curtis&lt;/Author&gt;&lt;Year&gt;2024&lt;/Year&gt;&lt;RecNum&gt;2953&lt;/RecNum&gt;&lt;DisplayText&gt;(Curtis, 2024)&lt;/DisplayText&gt;&lt;record&gt;&lt;rec-number&gt;2953&lt;/rec-number&gt;&lt;foreign-keys&gt;&lt;key app="EN" db-id="zxrtwszvnew9f9e9p0vv0wfld5x2wxp9wzp5" timestamp="1739349097"&gt;2953&lt;/key&gt;&lt;/foreign-keys&gt;&lt;ref-type name="Report"&gt;27&lt;/ref-type&gt;&lt;contributors&gt;&lt;authors&gt;&lt;author&gt;William Curtis&lt;/author&gt;&lt;/authors&gt;&lt;tertiary-authors&gt;&lt;author&gt;IBISWorld&lt;/author&gt;&lt;/tertiary-authors&gt;&lt;/contributors&gt;&lt;titles&gt;&lt;title&gt;Data Processing &amp;amp; Hosting Services in the US&lt;/title&gt;&lt;/titles&gt;&lt;dates&gt;&lt;year&gt;2024&lt;/year&gt;&lt;/dates&gt;&lt;urls&gt;&lt;related-urls&gt;&lt;url&gt;https://my-ibisworld-com.trident.idm.oclc.org/us/en/industry/51821/at-a-glance&lt;/url&gt;&lt;/related-urls&gt;&lt;/urls&gt;&lt;/record&gt;&lt;/Cite&gt;&lt;/EndNote&gt;</w:instrText>
      </w:r>
      <w:r w:rsidR="00017840">
        <w:rPr>
          <w:sz w:val="22"/>
          <w:szCs w:val="20"/>
        </w:rPr>
        <w:fldChar w:fldCharType="separate"/>
      </w:r>
      <w:r w:rsidR="00017840">
        <w:rPr>
          <w:noProof/>
          <w:sz w:val="22"/>
          <w:szCs w:val="20"/>
        </w:rPr>
        <w:t>(Curtis, 2024)</w:t>
      </w:r>
      <w:r w:rsidR="00017840">
        <w:rPr>
          <w:sz w:val="22"/>
          <w:szCs w:val="20"/>
        </w:rPr>
        <w:fldChar w:fldCharType="end"/>
      </w:r>
      <w:r w:rsidR="00506827" w:rsidRPr="00506827">
        <w:rPr>
          <w:sz w:val="22"/>
          <w:szCs w:val="20"/>
        </w:rPr>
        <w:t>.</w:t>
      </w:r>
    </w:p>
    <w:p w14:paraId="6EFFA1B1" w14:textId="50D1B240" w:rsidR="00635453" w:rsidRPr="004263C0" w:rsidRDefault="00506827" w:rsidP="00506827">
      <w:pPr>
        <w:spacing w:line="480" w:lineRule="auto"/>
        <w:ind w:firstLine="720"/>
        <w:rPr>
          <w:sz w:val="22"/>
          <w:szCs w:val="20"/>
        </w:rPr>
      </w:pPr>
      <w:r w:rsidRPr="00506827">
        <w:rPr>
          <w:sz w:val="22"/>
          <w:szCs w:val="20"/>
        </w:rPr>
        <w:t>This consistent upward trend is being driven by an increased reliance on cloud computing, rising data security requirements, and the rapid expansion of digital services</w:t>
      </w:r>
      <w:r w:rsidR="009418F5">
        <w:rPr>
          <w:sz w:val="22"/>
          <w:szCs w:val="20"/>
        </w:rPr>
        <w:t xml:space="preserve"> and its </w:t>
      </w:r>
      <w:r w:rsidRPr="00506827">
        <w:rPr>
          <w:sz w:val="22"/>
          <w:szCs w:val="20"/>
        </w:rPr>
        <w:t>resilience and strong financial performance indicate continued growth opportunities, making it an essential component of the United States' digital economy</w:t>
      </w:r>
      <w:r w:rsidR="00635453" w:rsidRPr="0066628E">
        <w:rPr>
          <w:sz w:val="22"/>
          <w:szCs w:val="20"/>
        </w:rPr>
        <w:t>.</w:t>
      </w:r>
    </w:p>
    <w:p w14:paraId="7F79F8D8" w14:textId="77777777" w:rsidR="000455F6" w:rsidRPr="007E1727" w:rsidRDefault="000455F6" w:rsidP="00302BC5">
      <w:pPr>
        <w:pStyle w:val="Blockquote"/>
        <w:spacing w:before="0" w:after="0" w:line="480" w:lineRule="auto"/>
        <w:ind w:left="0" w:right="0"/>
        <w:jc w:val="center"/>
        <w:rPr>
          <w:b/>
          <w:color w:val="000000"/>
          <w:szCs w:val="24"/>
        </w:rPr>
      </w:pPr>
      <w:r w:rsidRPr="007E1727">
        <w:rPr>
          <w:b/>
          <w:color w:val="000000"/>
          <w:szCs w:val="24"/>
        </w:rPr>
        <w:t>Conclusion</w:t>
      </w:r>
    </w:p>
    <w:p w14:paraId="2F0CAE9A" w14:textId="265EE1A9" w:rsidR="004B6742" w:rsidRPr="00017840" w:rsidRDefault="00506827" w:rsidP="00017840">
      <w:pPr>
        <w:tabs>
          <w:tab w:val="left" w:pos="360"/>
        </w:tabs>
        <w:overflowPunct w:val="0"/>
        <w:autoSpaceDE w:val="0"/>
        <w:autoSpaceDN w:val="0"/>
        <w:adjustRightInd w:val="0"/>
        <w:spacing w:line="480" w:lineRule="auto"/>
        <w:ind w:firstLine="360"/>
        <w:textAlignment w:val="baseline"/>
        <w:rPr>
          <w:color w:val="000000"/>
          <w:lang w:val="en-PK"/>
        </w:rPr>
      </w:pPr>
      <w:r w:rsidRPr="00506827">
        <w:rPr>
          <w:color w:val="000000"/>
          <w:lang w:val="en-PK"/>
        </w:rPr>
        <w:t>The Data Processing &amp; Hosting Services industry is a cornerstone of the U.S. digital economy, driven by technology and cloud-based solutions</w:t>
      </w:r>
      <w:r w:rsidR="00EF78E4">
        <w:rPr>
          <w:color w:val="000000"/>
          <w:lang w:val="en-PK"/>
        </w:rPr>
        <w:t xml:space="preserve"> and a</w:t>
      </w:r>
      <w:r w:rsidRPr="00506827">
        <w:rPr>
          <w:color w:val="000000"/>
          <w:lang w:val="en-PK"/>
        </w:rPr>
        <w:t>lthough growth is expected to slow, AI, cybersecurity, and edge computing innovations will shape the industry. Strategic investments in infrastructure, compliance, and emerging technologies will keep companies competitive in this changing market.</w:t>
      </w:r>
      <w:r w:rsidR="000455F6" w:rsidRPr="007E1727">
        <w:rPr>
          <w:color w:val="000000"/>
        </w:rPr>
        <w:br w:type="page"/>
      </w:r>
      <w:r w:rsidR="000455F6" w:rsidRPr="007E1727">
        <w:rPr>
          <w:b/>
          <w:color w:val="000000"/>
        </w:rPr>
        <w:lastRenderedPageBreak/>
        <w:t>References</w:t>
      </w:r>
    </w:p>
    <w:p w14:paraId="7956851F" w14:textId="6FA7E61F" w:rsidR="00017840" w:rsidRPr="00017840" w:rsidRDefault="004B6742" w:rsidP="00017840">
      <w:pPr>
        <w:pStyle w:val="EndNoteBibliography"/>
        <w:ind w:left="720" w:hanging="720"/>
        <w:jc w:val="left"/>
      </w:pPr>
      <w:r>
        <w:rPr>
          <w:color w:val="000000"/>
        </w:rPr>
        <w:fldChar w:fldCharType="begin"/>
      </w:r>
      <w:r>
        <w:rPr>
          <w:color w:val="000000"/>
        </w:rPr>
        <w:instrText xml:space="preserve"> ADDIN EN.REFLIST </w:instrText>
      </w:r>
      <w:r>
        <w:rPr>
          <w:color w:val="000000"/>
        </w:rPr>
        <w:fldChar w:fldCharType="separate"/>
      </w:r>
      <w:r w:rsidR="00017840" w:rsidRPr="00017840">
        <w:t xml:space="preserve">CMA. (2024). </w:t>
      </w:r>
      <w:r w:rsidR="00017840" w:rsidRPr="00017840">
        <w:rPr>
          <w:i/>
        </w:rPr>
        <w:t>The State of UK Competition Report 2024</w:t>
      </w:r>
      <w:r w:rsidR="00017840" w:rsidRPr="00017840">
        <w:t xml:space="preserve">. Retrieved 12th February from </w:t>
      </w:r>
      <w:hyperlink r:id="rId7" w:history="1">
        <w:r w:rsidR="00017840" w:rsidRPr="00017840">
          <w:rPr>
            <w:rStyle w:val="Hyperlink"/>
          </w:rPr>
          <w:t>https://www.gov.uk/government/publications/the-state-of-uk-competition-report-2024/the-state-of-uk-competition-report-2024</w:t>
        </w:r>
      </w:hyperlink>
    </w:p>
    <w:p w14:paraId="2D474F1A" w14:textId="06974170" w:rsidR="00017840" w:rsidRPr="00017840" w:rsidRDefault="00017840" w:rsidP="00017840">
      <w:pPr>
        <w:pStyle w:val="EndNoteBibliography"/>
        <w:ind w:left="720" w:hanging="720"/>
        <w:jc w:val="left"/>
      </w:pPr>
      <w:r w:rsidRPr="00017840">
        <w:t xml:space="preserve">Curtis, W. (2024). </w:t>
      </w:r>
      <w:r w:rsidRPr="00017840">
        <w:rPr>
          <w:i/>
        </w:rPr>
        <w:t>Data Processing &amp; Hosting Services in the US</w:t>
      </w:r>
      <w:r w:rsidRPr="00017840">
        <w:t xml:space="preserve">. IBISWorld. </w:t>
      </w:r>
      <w:hyperlink r:id="rId8" w:history="1">
        <w:r w:rsidRPr="00017840">
          <w:rPr>
            <w:rStyle w:val="Hyperlink"/>
          </w:rPr>
          <w:t>https://my-ibisworld-com.trident.idm.oclc.org/us/en/industry/51821/at-a-glance</w:t>
        </w:r>
      </w:hyperlink>
    </w:p>
    <w:p w14:paraId="74C2D02D" w14:textId="5729FE79" w:rsidR="00017840" w:rsidRPr="00017840" w:rsidRDefault="00017840" w:rsidP="00017840">
      <w:pPr>
        <w:pStyle w:val="EndNoteBibliography"/>
        <w:ind w:left="720" w:hanging="720"/>
        <w:jc w:val="left"/>
      </w:pPr>
      <w:r w:rsidRPr="00017840">
        <w:t xml:space="preserve">CXO. (2024). </w:t>
      </w:r>
      <w:r w:rsidRPr="00017840">
        <w:rPr>
          <w:i/>
        </w:rPr>
        <w:t>An outlook at emerging technologies that will reshape enterprises in 2025</w:t>
      </w:r>
      <w:r w:rsidRPr="00017840">
        <w:t xml:space="preserve">. Retrieved 12th February from </w:t>
      </w:r>
      <w:hyperlink r:id="rId9" w:history="1">
        <w:r w:rsidRPr="00017840">
          <w:rPr>
            <w:rStyle w:val="Hyperlink"/>
          </w:rPr>
          <w:t>https://cxotoday.com/corner-office/an-outlook-at-emerging-technologies-that-will-reshape-enterprises-in-2025/</w:t>
        </w:r>
      </w:hyperlink>
    </w:p>
    <w:p w14:paraId="2C47BC9A" w14:textId="20AC7B99" w:rsidR="00017840" w:rsidRPr="00017840" w:rsidRDefault="00017840" w:rsidP="00017840">
      <w:pPr>
        <w:pStyle w:val="EndNoteBibliography"/>
        <w:ind w:left="720" w:hanging="720"/>
        <w:jc w:val="left"/>
      </w:pPr>
      <w:r w:rsidRPr="00017840">
        <w:t xml:space="preserve">Dharmadhikari, S. (2024). </w:t>
      </w:r>
      <w:r w:rsidRPr="00017840">
        <w:rPr>
          <w:i/>
        </w:rPr>
        <w:t>Data Processing And Hosting Service Market Report 2025 (Global Edition)</w:t>
      </w:r>
      <w:r w:rsidRPr="00017840">
        <w:t xml:space="preserve">. Retrieved 12th February from </w:t>
      </w:r>
      <w:hyperlink r:id="rId10" w:history="1">
        <w:r w:rsidRPr="00017840">
          <w:rPr>
            <w:rStyle w:val="Hyperlink"/>
          </w:rPr>
          <w:t>https://www.cognitivemarketresearch.com/data-processing-and-hosting-service-market-report?srsltid=AfmBOooKTn0ARsct94lZj_HvZXcCfSF2lVAEjBowwN29JLng_IAK-5sh</w:t>
        </w:r>
      </w:hyperlink>
    </w:p>
    <w:p w14:paraId="13404D3C" w14:textId="02B54E7B" w:rsidR="00017840" w:rsidRPr="00017840" w:rsidRDefault="00017840" w:rsidP="00017840">
      <w:pPr>
        <w:pStyle w:val="EndNoteBibliography"/>
        <w:ind w:left="720" w:hanging="720"/>
        <w:jc w:val="left"/>
      </w:pPr>
      <w:r w:rsidRPr="00017840">
        <w:t xml:space="preserve">Patrizio, A. (2024). </w:t>
      </w:r>
      <w:r w:rsidRPr="00017840">
        <w:rPr>
          <w:i/>
        </w:rPr>
        <w:t>Breaking down the cost of cloud computing in 2025</w:t>
      </w:r>
      <w:r w:rsidRPr="00017840">
        <w:t xml:space="preserve">. Retrieved 12th February from </w:t>
      </w:r>
      <w:hyperlink r:id="rId11" w:history="1">
        <w:r w:rsidRPr="00017840">
          <w:rPr>
            <w:rStyle w:val="Hyperlink"/>
          </w:rPr>
          <w:t>https://www.techtarget.com/whatis/feature/Breaking-down-the-cost-of-cloud-computing</w:t>
        </w:r>
      </w:hyperlink>
    </w:p>
    <w:p w14:paraId="35DE76B8" w14:textId="53766B5F" w:rsidR="00017840" w:rsidRPr="00017840" w:rsidRDefault="00017840" w:rsidP="00017840">
      <w:pPr>
        <w:pStyle w:val="EndNoteBibliography"/>
        <w:ind w:left="720" w:hanging="720"/>
        <w:jc w:val="left"/>
      </w:pPr>
      <w:r w:rsidRPr="00017840">
        <w:t xml:space="preserve">The University of Law. (2024). </w:t>
      </w:r>
      <w:r w:rsidRPr="00017840">
        <w:rPr>
          <w:i/>
        </w:rPr>
        <w:t>The importance of data privacy law in the digital age</w:t>
      </w:r>
      <w:r w:rsidRPr="00017840">
        <w:t xml:space="preserve">. Retrieved 12th February from </w:t>
      </w:r>
      <w:hyperlink r:id="rId12" w:history="1">
        <w:r w:rsidRPr="00017840">
          <w:rPr>
            <w:rStyle w:val="Hyperlink"/>
          </w:rPr>
          <w:t>https://www.law.ac.uk/resources/blog/the-importance-of-data-privacy-law-in-the-digital-age/</w:t>
        </w:r>
      </w:hyperlink>
    </w:p>
    <w:p w14:paraId="0C520018" w14:textId="24DFB98F" w:rsidR="00A42F13" w:rsidRDefault="004B6742" w:rsidP="00017840">
      <w:pPr>
        <w:spacing w:line="480" w:lineRule="auto"/>
        <w:rPr>
          <w:color w:val="000000"/>
        </w:rPr>
      </w:pPr>
      <w:r>
        <w:rPr>
          <w:color w:val="000000"/>
        </w:rPr>
        <w:fldChar w:fldCharType="end"/>
      </w:r>
    </w:p>
    <w:sectPr w:rsidR="00A42F13" w:rsidSect="003F5158">
      <w:headerReference w:type="default" r:id="rId13"/>
      <w:head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6FB9" w14:textId="77777777" w:rsidR="00027BE3" w:rsidRDefault="00027BE3">
      <w:r>
        <w:separator/>
      </w:r>
    </w:p>
  </w:endnote>
  <w:endnote w:type="continuationSeparator" w:id="0">
    <w:p w14:paraId="10B3AEBC" w14:textId="77777777" w:rsidR="00027BE3" w:rsidRDefault="0002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8A8E" w14:textId="77777777" w:rsidR="00027BE3" w:rsidRDefault="00027BE3">
      <w:r>
        <w:separator/>
      </w:r>
    </w:p>
  </w:footnote>
  <w:footnote w:type="continuationSeparator" w:id="0">
    <w:p w14:paraId="6A484A9D" w14:textId="77777777" w:rsidR="00027BE3" w:rsidRDefault="0002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3E42AB">
      <w:rPr>
        <w:rStyle w:val="PageNumber"/>
        <w:noProof/>
      </w:rPr>
      <w:t>3</w:t>
    </w:r>
    <w:r>
      <w:rPr>
        <w:rStyle w:val="PageNumber"/>
      </w:rPr>
      <w:fldChar w:fldCharType="end"/>
    </w:r>
  </w:p>
  <w:p w14:paraId="3A9BF68D" w14:textId="75AADB97" w:rsidR="00B32F73" w:rsidRPr="00352E8D" w:rsidRDefault="00ED7EAB" w:rsidP="003F5158">
    <w:pPr>
      <w:pStyle w:val="Header"/>
      <w:ind w:right="360"/>
      <w:rPr>
        <w:sz w:val="22"/>
        <w:szCs w:val="22"/>
      </w:rPr>
    </w:pPr>
    <w:r>
      <w:t>BUS5</w:t>
    </w:r>
    <w:r w:rsidR="007E1727">
      <w:t>00</w:t>
    </w:r>
    <w:r w:rsidR="00D0108C">
      <w:t xml:space="preserve"> </w:t>
    </w:r>
    <w:r w:rsidR="00352229">
      <w:t>Case</w:t>
    </w:r>
    <w:r w:rsidR="006624AB">
      <w:t xml:space="preserve"> </w:t>
    </w:r>
    <w:r w:rsidR="00635453">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3E42AB">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78658">
    <w:abstractNumId w:val="18"/>
  </w:num>
  <w:num w:numId="2" w16cid:durableId="232663278">
    <w:abstractNumId w:val="7"/>
  </w:num>
  <w:num w:numId="3" w16cid:durableId="361713738">
    <w:abstractNumId w:val="16"/>
  </w:num>
  <w:num w:numId="4" w16cid:durableId="828639740">
    <w:abstractNumId w:val="25"/>
  </w:num>
  <w:num w:numId="5" w16cid:durableId="633021609">
    <w:abstractNumId w:val="1"/>
  </w:num>
  <w:num w:numId="6" w16cid:durableId="72358311">
    <w:abstractNumId w:val="29"/>
  </w:num>
  <w:num w:numId="7" w16cid:durableId="2068528996">
    <w:abstractNumId w:val="26"/>
  </w:num>
  <w:num w:numId="8" w16cid:durableId="1406877939">
    <w:abstractNumId w:val="12"/>
  </w:num>
  <w:num w:numId="9" w16cid:durableId="732242494">
    <w:abstractNumId w:val="2"/>
  </w:num>
  <w:num w:numId="10" w16cid:durableId="193424507">
    <w:abstractNumId w:val="19"/>
  </w:num>
  <w:num w:numId="11" w16cid:durableId="69666033">
    <w:abstractNumId w:val="4"/>
  </w:num>
  <w:num w:numId="12" w16cid:durableId="330914088">
    <w:abstractNumId w:val="27"/>
  </w:num>
  <w:num w:numId="13" w16cid:durableId="1248080428">
    <w:abstractNumId w:val="28"/>
  </w:num>
  <w:num w:numId="14" w16cid:durableId="1179194841">
    <w:abstractNumId w:val="23"/>
  </w:num>
  <w:num w:numId="15" w16cid:durableId="810942656">
    <w:abstractNumId w:val="32"/>
  </w:num>
  <w:num w:numId="16" w16cid:durableId="1219053359">
    <w:abstractNumId w:val="21"/>
  </w:num>
  <w:num w:numId="17" w16cid:durableId="1637375084">
    <w:abstractNumId w:val="33"/>
  </w:num>
  <w:num w:numId="18" w16cid:durableId="1837109623">
    <w:abstractNumId w:val="8"/>
  </w:num>
  <w:num w:numId="19" w16cid:durableId="185679196">
    <w:abstractNumId w:val="6"/>
  </w:num>
  <w:num w:numId="20" w16cid:durableId="1680499309">
    <w:abstractNumId w:val="13"/>
  </w:num>
  <w:num w:numId="21" w16cid:durableId="1248999886">
    <w:abstractNumId w:val="22"/>
  </w:num>
  <w:num w:numId="22" w16cid:durableId="1782719998">
    <w:abstractNumId w:val="9"/>
  </w:num>
  <w:num w:numId="23" w16cid:durableId="192351551">
    <w:abstractNumId w:val="24"/>
  </w:num>
  <w:num w:numId="24" w16cid:durableId="559906646">
    <w:abstractNumId w:val="3"/>
  </w:num>
  <w:num w:numId="25" w16cid:durableId="235946139">
    <w:abstractNumId w:val="30"/>
  </w:num>
  <w:num w:numId="26" w16cid:durableId="529727758">
    <w:abstractNumId w:val="20"/>
  </w:num>
  <w:num w:numId="27" w16cid:durableId="1653951090">
    <w:abstractNumId w:val="10"/>
  </w:num>
  <w:num w:numId="28" w16cid:durableId="1733692891">
    <w:abstractNumId w:val="5"/>
  </w:num>
  <w:num w:numId="29" w16cid:durableId="1075512252">
    <w:abstractNumId w:val="31"/>
  </w:num>
  <w:num w:numId="30" w16cid:durableId="138613442">
    <w:abstractNumId w:val="14"/>
  </w:num>
  <w:num w:numId="31" w16cid:durableId="1914510273">
    <w:abstractNumId w:val="0"/>
  </w:num>
  <w:num w:numId="32" w16cid:durableId="404300261">
    <w:abstractNumId w:val="11"/>
  </w:num>
  <w:num w:numId="33" w16cid:durableId="97680718">
    <w:abstractNumId w:val="15"/>
  </w:num>
  <w:num w:numId="34" w16cid:durableId="1695687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Q0MzYztzC3MDE0MDFR0lEKTi0uzszPAykwMq0FAN2mvaQ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rtwszvnew9f9e9p0vv0wfld5x2wxp9wzp5&quot;&gt;My EndNote Library&lt;record-ids&gt;&lt;item&gt;2953&lt;/item&gt;&lt;item&gt;2954&lt;/item&gt;&lt;item&gt;2955&lt;/item&gt;&lt;item&gt;2956&lt;/item&gt;&lt;item&gt;2957&lt;/item&gt;&lt;item&gt;2958&lt;/item&gt;&lt;/record-ids&gt;&lt;/item&gt;&lt;/Libraries&gt;"/>
  </w:docVars>
  <w:rsids>
    <w:rsidRoot w:val="0050433C"/>
    <w:rsid w:val="00017840"/>
    <w:rsid w:val="00026142"/>
    <w:rsid w:val="00027BE3"/>
    <w:rsid w:val="0003472F"/>
    <w:rsid w:val="000455F6"/>
    <w:rsid w:val="00047143"/>
    <w:rsid w:val="000511FA"/>
    <w:rsid w:val="0006024F"/>
    <w:rsid w:val="0006074E"/>
    <w:rsid w:val="00081629"/>
    <w:rsid w:val="00085C7F"/>
    <w:rsid w:val="000A198A"/>
    <w:rsid w:val="000A39A9"/>
    <w:rsid w:val="000B008D"/>
    <w:rsid w:val="000B6AD6"/>
    <w:rsid w:val="000C144F"/>
    <w:rsid w:val="000C1741"/>
    <w:rsid w:val="000C6AD9"/>
    <w:rsid w:val="000D680B"/>
    <w:rsid w:val="000D731C"/>
    <w:rsid w:val="000E0F36"/>
    <w:rsid w:val="000E5D71"/>
    <w:rsid w:val="000F0237"/>
    <w:rsid w:val="000F1641"/>
    <w:rsid w:val="0010052C"/>
    <w:rsid w:val="00106FDE"/>
    <w:rsid w:val="001147C1"/>
    <w:rsid w:val="00131A1B"/>
    <w:rsid w:val="001377D4"/>
    <w:rsid w:val="00147909"/>
    <w:rsid w:val="00150EEF"/>
    <w:rsid w:val="00154F49"/>
    <w:rsid w:val="00161366"/>
    <w:rsid w:val="00163836"/>
    <w:rsid w:val="00167D67"/>
    <w:rsid w:val="001758DE"/>
    <w:rsid w:val="00182003"/>
    <w:rsid w:val="00184FBE"/>
    <w:rsid w:val="001869D7"/>
    <w:rsid w:val="001A0324"/>
    <w:rsid w:val="001A55A9"/>
    <w:rsid w:val="001D090F"/>
    <w:rsid w:val="001D1CD9"/>
    <w:rsid w:val="001D5087"/>
    <w:rsid w:val="001E1054"/>
    <w:rsid w:val="001F40F3"/>
    <w:rsid w:val="0020174B"/>
    <w:rsid w:val="0020241D"/>
    <w:rsid w:val="00211094"/>
    <w:rsid w:val="0021351E"/>
    <w:rsid w:val="002439C9"/>
    <w:rsid w:val="00253713"/>
    <w:rsid w:val="00256256"/>
    <w:rsid w:val="00283DCB"/>
    <w:rsid w:val="00286395"/>
    <w:rsid w:val="002A2C9F"/>
    <w:rsid w:val="002B6BFA"/>
    <w:rsid w:val="002C00BE"/>
    <w:rsid w:val="002C7462"/>
    <w:rsid w:val="002D755D"/>
    <w:rsid w:val="002E6180"/>
    <w:rsid w:val="002F449E"/>
    <w:rsid w:val="002F7DEF"/>
    <w:rsid w:val="00302BC5"/>
    <w:rsid w:val="00312827"/>
    <w:rsid w:val="00352229"/>
    <w:rsid w:val="00352E8D"/>
    <w:rsid w:val="00354C36"/>
    <w:rsid w:val="00356E85"/>
    <w:rsid w:val="00361978"/>
    <w:rsid w:val="00364C68"/>
    <w:rsid w:val="00386D31"/>
    <w:rsid w:val="00393456"/>
    <w:rsid w:val="003A0026"/>
    <w:rsid w:val="003A1801"/>
    <w:rsid w:val="003B7948"/>
    <w:rsid w:val="003C7F15"/>
    <w:rsid w:val="003D6821"/>
    <w:rsid w:val="003E42AB"/>
    <w:rsid w:val="003E5F3A"/>
    <w:rsid w:val="003E64B1"/>
    <w:rsid w:val="003F2F65"/>
    <w:rsid w:val="003F3719"/>
    <w:rsid w:val="003F5158"/>
    <w:rsid w:val="003F62B7"/>
    <w:rsid w:val="00403444"/>
    <w:rsid w:val="00415754"/>
    <w:rsid w:val="00420274"/>
    <w:rsid w:val="00422016"/>
    <w:rsid w:val="00425A9A"/>
    <w:rsid w:val="004263C0"/>
    <w:rsid w:val="00430195"/>
    <w:rsid w:val="00436393"/>
    <w:rsid w:val="00440095"/>
    <w:rsid w:val="0044112E"/>
    <w:rsid w:val="00454CAF"/>
    <w:rsid w:val="00456686"/>
    <w:rsid w:val="004578EE"/>
    <w:rsid w:val="004604B1"/>
    <w:rsid w:val="00462D07"/>
    <w:rsid w:val="00466700"/>
    <w:rsid w:val="004853C2"/>
    <w:rsid w:val="00492DCE"/>
    <w:rsid w:val="0049530B"/>
    <w:rsid w:val="004A3C8E"/>
    <w:rsid w:val="004B6742"/>
    <w:rsid w:val="004C1298"/>
    <w:rsid w:val="004D0D5D"/>
    <w:rsid w:val="00502A2F"/>
    <w:rsid w:val="00502AE3"/>
    <w:rsid w:val="005040FF"/>
    <w:rsid w:val="0050433C"/>
    <w:rsid w:val="0050489F"/>
    <w:rsid w:val="00506827"/>
    <w:rsid w:val="00522766"/>
    <w:rsid w:val="00526726"/>
    <w:rsid w:val="00530A67"/>
    <w:rsid w:val="0053493C"/>
    <w:rsid w:val="005412E4"/>
    <w:rsid w:val="0055467F"/>
    <w:rsid w:val="00561A56"/>
    <w:rsid w:val="00563DF4"/>
    <w:rsid w:val="00565081"/>
    <w:rsid w:val="0057635E"/>
    <w:rsid w:val="00581CE2"/>
    <w:rsid w:val="00595B65"/>
    <w:rsid w:val="005C47EE"/>
    <w:rsid w:val="005E4B13"/>
    <w:rsid w:val="005E5214"/>
    <w:rsid w:val="005E5984"/>
    <w:rsid w:val="005F3678"/>
    <w:rsid w:val="005F75ED"/>
    <w:rsid w:val="0060394A"/>
    <w:rsid w:val="006124DB"/>
    <w:rsid w:val="00612826"/>
    <w:rsid w:val="00614C45"/>
    <w:rsid w:val="00615603"/>
    <w:rsid w:val="00625523"/>
    <w:rsid w:val="00635453"/>
    <w:rsid w:val="006416F4"/>
    <w:rsid w:val="006431F1"/>
    <w:rsid w:val="0066026A"/>
    <w:rsid w:val="00660724"/>
    <w:rsid w:val="006624AB"/>
    <w:rsid w:val="00671116"/>
    <w:rsid w:val="00672D33"/>
    <w:rsid w:val="006730B0"/>
    <w:rsid w:val="00674A8C"/>
    <w:rsid w:val="006A5C5E"/>
    <w:rsid w:val="006B25B5"/>
    <w:rsid w:val="006E1EF5"/>
    <w:rsid w:val="006F527A"/>
    <w:rsid w:val="0070200D"/>
    <w:rsid w:val="00711DC4"/>
    <w:rsid w:val="00730021"/>
    <w:rsid w:val="00745A54"/>
    <w:rsid w:val="007520E2"/>
    <w:rsid w:val="007572B6"/>
    <w:rsid w:val="00774983"/>
    <w:rsid w:val="007A1B1F"/>
    <w:rsid w:val="007D1376"/>
    <w:rsid w:val="007E1727"/>
    <w:rsid w:val="007F79BB"/>
    <w:rsid w:val="008026AA"/>
    <w:rsid w:val="0081017D"/>
    <w:rsid w:val="00824636"/>
    <w:rsid w:val="008255DE"/>
    <w:rsid w:val="00841A9E"/>
    <w:rsid w:val="00841F4A"/>
    <w:rsid w:val="00844EE7"/>
    <w:rsid w:val="00850747"/>
    <w:rsid w:val="00854AE3"/>
    <w:rsid w:val="00854C46"/>
    <w:rsid w:val="008610BF"/>
    <w:rsid w:val="00871249"/>
    <w:rsid w:val="00873554"/>
    <w:rsid w:val="00880C08"/>
    <w:rsid w:val="00883AAD"/>
    <w:rsid w:val="00896609"/>
    <w:rsid w:val="008B7F59"/>
    <w:rsid w:val="008C504B"/>
    <w:rsid w:val="008C5610"/>
    <w:rsid w:val="008C7966"/>
    <w:rsid w:val="008D23AA"/>
    <w:rsid w:val="008D3F0D"/>
    <w:rsid w:val="008D5C02"/>
    <w:rsid w:val="008E469D"/>
    <w:rsid w:val="008F74C4"/>
    <w:rsid w:val="009007D4"/>
    <w:rsid w:val="0091254D"/>
    <w:rsid w:val="009418F5"/>
    <w:rsid w:val="0094570E"/>
    <w:rsid w:val="00954A41"/>
    <w:rsid w:val="00960B22"/>
    <w:rsid w:val="009749F9"/>
    <w:rsid w:val="009758CD"/>
    <w:rsid w:val="00977C3F"/>
    <w:rsid w:val="009802F6"/>
    <w:rsid w:val="00990C99"/>
    <w:rsid w:val="00991A50"/>
    <w:rsid w:val="009A3DEA"/>
    <w:rsid w:val="009A584F"/>
    <w:rsid w:val="009B6C8F"/>
    <w:rsid w:val="009C36FD"/>
    <w:rsid w:val="009C743D"/>
    <w:rsid w:val="009D375B"/>
    <w:rsid w:val="009D378A"/>
    <w:rsid w:val="00A00D2C"/>
    <w:rsid w:val="00A037C7"/>
    <w:rsid w:val="00A12B0F"/>
    <w:rsid w:val="00A13576"/>
    <w:rsid w:val="00A1437D"/>
    <w:rsid w:val="00A225DF"/>
    <w:rsid w:val="00A27F42"/>
    <w:rsid w:val="00A37498"/>
    <w:rsid w:val="00A426A5"/>
    <w:rsid w:val="00A42F13"/>
    <w:rsid w:val="00A4532E"/>
    <w:rsid w:val="00A6361F"/>
    <w:rsid w:val="00A725AF"/>
    <w:rsid w:val="00A75CFC"/>
    <w:rsid w:val="00A93CC1"/>
    <w:rsid w:val="00A95E3A"/>
    <w:rsid w:val="00AA3F20"/>
    <w:rsid w:val="00AB3DAE"/>
    <w:rsid w:val="00AC1F46"/>
    <w:rsid w:val="00AC5BC5"/>
    <w:rsid w:val="00AD4FAC"/>
    <w:rsid w:val="00AD7ACE"/>
    <w:rsid w:val="00AE1D46"/>
    <w:rsid w:val="00AE3507"/>
    <w:rsid w:val="00B005A8"/>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71374"/>
    <w:rsid w:val="00B742AF"/>
    <w:rsid w:val="00B80515"/>
    <w:rsid w:val="00B8112C"/>
    <w:rsid w:val="00B93D96"/>
    <w:rsid w:val="00BB3707"/>
    <w:rsid w:val="00BD1C8D"/>
    <w:rsid w:val="00BD3733"/>
    <w:rsid w:val="00BD6FF4"/>
    <w:rsid w:val="00BE410C"/>
    <w:rsid w:val="00BF7C6E"/>
    <w:rsid w:val="00C16DDC"/>
    <w:rsid w:val="00C21C1C"/>
    <w:rsid w:val="00C22265"/>
    <w:rsid w:val="00C277CE"/>
    <w:rsid w:val="00C31727"/>
    <w:rsid w:val="00C4400D"/>
    <w:rsid w:val="00C51C2A"/>
    <w:rsid w:val="00C5533D"/>
    <w:rsid w:val="00C56D20"/>
    <w:rsid w:val="00C74F8E"/>
    <w:rsid w:val="00C769CD"/>
    <w:rsid w:val="00C863E2"/>
    <w:rsid w:val="00C9472F"/>
    <w:rsid w:val="00CA791D"/>
    <w:rsid w:val="00CB254B"/>
    <w:rsid w:val="00CB4526"/>
    <w:rsid w:val="00CC057E"/>
    <w:rsid w:val="00CC3628"/>
    <w:rsid w:val="00CD2528"/>
    <w:rsid w:val="00CE2E66"/>
    <w:rsid w:val="00CE605E"/>
    <w:rsid w:val="00CF070A"/>
    <w:rsid w:val="00D0108C"/>
    <w:rsid w:val="00D13AC0"/>
    <w:rsid w:val="00D172FE"/>
    <w:rsid w:val="00D200BF"/>
    <w:rsid w:val="00D47CA9"/>
    <w:rsid w:val="00D57D30"/>
    <w:rsid w:val="00D7332A"/>
    <w:rsid w:val="00D844B2"/>
    <w:rsid w:val="00D87258"/>
    <w:rsid w:val="00D96DDF"/>
    <w:rsid w:val="00DA07CA"/>
    <w:rsid w:val="00DA577C"/>
    <w:rsid w:val="00DB099B"/>
    <w:rsid w:val="00DB7248"/>
    <w:rsid w:val="00DD0C4D"/>
    <w:rsid w:val="00DE1A4A"/>
    <w:rsid w:val="00DE1C53"/>
    <w:rsid w:val="00DE3706"/>
    <w:rsid w:val="00DE5909"/>
    <w:rsid w:val="00DE7652"/>
    <w:rsid w:val="00DF5ED9"/>
    <w:rsid w:val="00E026E0"/>
    <w:rsid w:val="00E046B3"/>
    <w:rsid w:val="00E062B8"/>
    <w:rsid w:val="00E347E9"/>
    <w:rsid w:val="00E40301"/>
    <w:rsid w:val="00E42500"/>
    <w:rsid w:val="00E4493B"/>
    <w:rsid w:val="00E45724"/>
    <w:rsid w:val="00E45886"/>
    <w:rsid w:val="00E55204"/>
    <w:rsid w:val="00E63F35"/>
    <w:rsid w:val="00E642BD"/>
    <w:rsid w:val="00E64AD3"/>
    <w:rsid w:val="00E7451E"/>
    <w:rsid w:val="00E80CFF"/>
    <w:rsid w:val="00E84888"/>
    <w:rsid w:val="00E94012"/>
    <w:rsid w:val="00E940DC"/>
    <w:rsid w:val="00E94A62"/>
    <w:rsid w:val="00EB211C"/>
    <w:rsid w:val="00EB65C0"/>
    <w:rsid w:val="00EC03B6"/>
    <w:rsid w:val="00EC617A"/>
    <w:rsid w:val="00ED47C2"/>
    <w:rsid w:val="00ED7EAB"/>
    <w:rsid w:val="00EF1CB2"/>
    <w:rsid w:val="00EF57CD"/>
    <w:rsid w:val="00EF78E4"/>
    <w:rsid w:val="00F1089A"/>
    <w:rsid w:val="00F20699"/>
    <w:rsid w:val="00F257CE"/>
    <w:rsid w:val="00F357C2"/>
    <w:rsid w:val="00F35BE5"/>
    <w:rsid w:val="00F378C4"/>
    <w:rsid w:val="00F43BA1"/>
    <w:rsid w:val="00F468D1"/>
    <w:rsid w:val="00F62922"/>
    <w:rsid w:val="00F64DDA"/>
    <w:rsid w:val="00F7461E"/>
    <w:rsid w:val="00F84528"/>
    <w:rsid w:val="00F8489A"/>
    <w:rsid w:val="00F84D66"/>
    <w:rsid w:val="00F93AF8"/>
    <w:rsid w:val="00F96D0F"/>
    <w:rsid w:val="00F96D5C"/>
    <w:rsid w:val="00FA5A4C"/>
    <w:rsid w:val="00FA7A69"/>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 w:type="paragraph" w:customStyle="1" w:styleId="EndNoteBibliographyTitle">
    <w:name w:val="EndNote Bibliography Title"/>
    <w:basedOn w:val="Normal"/>
    <w:link w:val="EndNoteBibliographyTitleChar"/>
    <w:rsid w:val="004B6742"/>
    <w:pPr>
      <w:jc w:val="center"/>
    </w:pPr>
    <w:rPr>
      <w:noProof/>
    </w:rPr>
  </w:style>
  <w:style w:type="character" w:customStyle="1" w:styleId="EndNoteBibliographyTitleChar">
    <w:name w:val="EndNote Bibliography Title Char"/>
    <w:basedOn w:val="DefaultParagraphFont"/>
    <w:link w:val="EndNoteBibliographyTitle"/>
    <w:rsid w:val="004B6742"/>
    <w:rPr>
      <w:noProof/>
      <w:sz w:val="24"/>
      <w:szCs w:val="24"/>
    </w:rPr>
  </w:style>
  <w:style w:type="paragraph" w:customStyle="1" w:styleId="EndNoteBibliography">
    <w:name w:val="EndNote Bibliography"/>
    <w:basedOn w:val="Normal"/>
    <w:link w:val="EndNoteBibliographyChar"/>
    <w:rsid w:val="004B6742"/>
    <w:pPr>
      <w:jc w:val="center"/>
    </w:pPr>
    <w:rPr>
      <w:noProof/>
    </w:rPr>
  </w:style>
  <w:style w:type="character" w:customStyle="1" w:styleId="EndNoteBibliographyChar">
    <w:name w:val="EndNote Bibliography Char"/>
    <w:basedOn w:val="DefaultParagraphFont"/>
    <w:link w:val="EndNoteBibliography"/>
    <w:rsid w:val="004B6742"/>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040">
      <w:bodyDiv w:val="1"/>
      <w:marLeft w:val="0"/>
      <w:marRight w:val="0"/>
      <w:marTop w:val="0"/>
      <w:marBottom w:val="0"/>
      <w:divBdr>
        <w:top w:val="none" w:sz="0" w:space="0" w:color="auto"/>
        <w:left w:val="none" w:sz="0" w:space="0" w:color="auto"/>
        <w:bottom w:val="none" w:sz="0" w:space="0" w:color="auto"/>
        <w:right w:val="none" w:sz="0" w:space="0" w:color="auto"/>
      </w:divBdr>
    </w:div>
    <w:div w:id="103230679">
      <w:bodyDiv w:val="1"/>
      <w:marLeft w:val="0"/>
      <w:marRight w:val="0"/>
      <w:marTop w:val="0"/>
      <w:marBottom w:val="0"/>
      <w:divBdr>
        <w:top w:val="none" w:sz="0" w:space="0" w:color="auto"/>
        <w:left w:val="none" w:sz="0" w:space="0" w:color="auto"/>
        <w:bottom w:val="none" w:sz="0" w:space="0" w:color="auto"/>
        <w:right w:val="none" w:sz="0" w:space="0" w:color="auto"/>
      </w:divBdr>
      <w:divsChild>
        <w:div w:id="8916928">
          <w:marLeft w:val="0"/>
          <w:marRight w:val="0"/>
          <w:marTop w:val="0"/>
          <w:marBottom w:val="0"/>
          <w:divBdr>
            <w:top w:val="none" w:sz="0" w:space="0" w:color="auto"/>
            <w:left w:val="none" w:sz="0" w:space="0" w:color="auto"/>
            <w:bottom w:val="none" w:sz="0" w:space="0" w:color="auto"/>
            <w:right w:val="none" w:sz="0" w:space="0" w:color="auto"/>
          </w:divBdr>
          <w:divsChild>
            <w:div w:id="428282070">
              <w:marLeft w:val="0"/>
              <w:marRight w:val="0"/>
              <w:marTop w:val="0"/>
              <w:marBottom w:val="0"/>
              <w:divBdr>
                <w:top w:val="none" w:sz="0" w:space="0" w:color="auto"/>
                <w:left w:val="none" w:sz="0" w:space="0" w:color="auto"/>
                <w:bottom w:val="none" w:sz="0" w:space="0" w:color="auto"/>
                <w:right w:val="none" w:sz="0" w:space="0" w:color="auto"/>
              </w:divBdr>
              <w:divsChild>
                <w:div w:id="2054108258">
                  <w:marLeft w:val="0"/>
                  <w:marRight w:val="0"/>
                  <w:marTop w:val="0"/>
                  <w:marBottom w:val="0"/>
                  <w:divBdr>
                    <w:top w:val="none" w:sz="0" w:space="0" w:color="auto"/>
                    <w:left w:val="none" w:sz="0" w:space="0" w:color="auto"/>
                    <w:bottom w:val="none" w:sz="0" w:space="0" w:color="auto"/>
                    <w:right w:val="none" w:sz="0" w:space="0" w:color="auto"/>
                  </w:divBdr>
                  <w:divsChild>
                    <w:div w:id="841511740">
                      <w:marLeft w:val="0"/>
                      <w:marRight w:val="0"/>
                      <w:marTop w:val="0"/>
                      <w:marBottom w:val="0"/>
                      <w:divBdr>
                        <w:top w:val="none" w:sz="0" w:space="0" w:color="auto"/>
                        <w:left w:val="none" w:sz="0" w:space="0" w:color="auto"/>
                        <w:bottom w:val="none" w:sz="0" w:space="0" w:color="auto"/>
                        <w:right w:val="none" w:sz="0" w:space="0" w:color="auto"/>
                      </w:divBdr>
                      <w:divsChild>
                        <w:div w:id="408158706">
                          <w:marLeft w:val="0"/>
                          <w:marRight w:val="0"/>
                          <w:marTop w:val="0"/>
                          <w:marBottom w:val="0"/>
                          <w:divBdr>
                            <w:top w:val="none" w:sz="0" w:space="0" w:color="auto"/>
                            <w:left w:val="none" w:sz="0" w:space="0" w:color="auto"/>
                            <w:bottom w:val="none" w:sz="0" w:space="0" w:color="auto"/>
                            <w:right w:val="none" w:sz="0" w:space="0" w:color="auto"/>
                          </w:divBdr>
                          <w:divsChild>
                            <w:div w:id="1541671780">
                              <w:marLeft w:val="0"/>
                              <w:marRight w:val="0"/>
                              <w:marTop w:val="0"/>
                              <w:marBottom w:val="0"/>
                              <w:divBdr>
                                <w:top w:val="none" w:sz="0" w:space="0" w:color="auto"/>
                                <w:left w:val="none" w:sz="0" w:space="0" w:color="auto"/>
                                <w:bottom w:val="none" w:sz="0" w:space="0" w:color="auto"/>
                                <w:right w:val="none" w:sz="0" w:space="0" w:color="auto"/>
                              </w:divBdr>
                              <w:divsChild>
                                <w:div w:id="230122832">
                                  <w:marLeft w:val="0"/>
                                  <w:marRight w:val="0"/>
                                  <w:marTop w:val="0"/>
                                  <w:marBottom w:val="0"/>
                                  <w:divBdr>
                                    <w:top w:val="none" w:sz="0" w:space="0" w:color="auto"/>
                                    <w:left w:val="none" w:sz="0" w:space="0" w:color="auto"/>
                                    <w:bottom w:val="none" w:sz="0" w:space="0" w:color="auto"/>
                                    <w:right w:val="none" w:sz="0" w:space="0" w:color="auto"/>
                                  </w:divBdr>
                                  <w:divsChild>
                                    <w:div w:id="1413355308">
                                      <w:marLeft w:val="0"/>
                                      <w:marRight w:val="0"/>
                                      <w:marTop w:val="0"/>
                                      <w:marBottom w:val="0"/>
                                      <w:divBdr>
                                        <w:top w:val="none" w:sz="0" w:space="0" w:color="auto"/>
                                        <w:left w:val="none" w:sz="0" w:space="0" w:color="auto"/>
                                        <w:bottom w:val="none" w:sz="0" w:space="0" w:color="auto"/>
                                        <w:right w:val="none" w:sz="0" w:space="0" w:color="auto"/>
                                      </w:divBdr>
                                      <w:divsChild>
                                        <w:div w:id="690569636">
                                          <w:marLeft w:val="0"/>
                                          <w:marRight w:val="0"/>
                                          <w:marTop w:val="0"/>
                                          <w:marBottom w:val="0"/>
                                          <w:divBdr>
                                            <w:top w:val="none" w:sz="0" w:space="0" w:color="auto"/>
                                            <w:left w:val="none" w:sz="0" w:space="0" w:color="auto"/>
                                            <w:bottom w:val="none" w:sz="0" w:space="0" w:color="auto"/>
                                            <w:right w:val="none" w:sz="0" w:space="0" w:color="auto"/>
                                          </w:divBdr>
                                          <w:divsChild>
                                            <w:div w:id="1541093724">
                                              <w:marLeft w:val="0"/>
                                              <w:marRight w:val="0"/>
                                              <w:marTop w:val="0"/>
                                              <w:marBottom w:val="0"/>
                                              <w:divBdr>
                                                <w:top w:val="none" w:sz="0" w:space="0" w:color="auto"/>
                                                <w:left w:val="none" w:sz="0" w:space="0" w:color="auto"/>
                                                <w:bottom w:val="none" w:sz="0" w:space="0" w:color="auto"/>
                                                <w:right w:val="none" w:sz="0" w:space="0" w:color="auto"/>
                                              </w:divBdr>
                                              <w:divsChild>
                                                <w:div w:id="17447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401070">
          <w:marLeft w:val="0"/>
          <w:marRight w:val="0"/>
          <w:marTop w:val="0"/>
          <w:marBottom w:val="0"/>
          <w:divBdr>
            <w:top w:val="none" w:sz="0" w:space="0" w:color="auto"/>
            <w:left w:val="none" w:sz="0" w:space="0" w:color="auto"/>
            <w:bottom w:val="none" w:sz="0" w:space="0" w:color="auto"/>
            <w:right w:val="none" w:sz="0" w:space="0" w:color="auto"/>
          </w:divBdr>
          <w:divsChild>
            <w:div w:id="2007442817">
              <w:marLeft w:val="0"/>
              <w:marRight w:val="0"/>
              <w:marTop w:val="0"/>
              <w:marBottom w:val="0"/>
              <w:divBdr>
                <w:top w:val="none" w:sz="0" w:space="0" w:color="auto"/>
                <w:left w:val="none" w:sz="0" w:space="0" w:color="auto"/>
                <w:bottom w:val="none" w:sz="0" w:space="0" w:color="auto"/>
                <w:right w:val="none" w:sz="0" w:space="0" w:color="auto"/>
              </w:divBdr>
              <w:divsChild>
                <w:div w:id="991060335">
                  <w:marLeft w:val="0"/>
                  <w:marRight w:val="0"/>
                  <w:marTop w:val="0"/>
                  <w:marBottom w:val="0"/>
                  <w:divBdr>
                    <w:top w:val="none" w:sz="0" w:space="0" w:color="auto"/>
                    <w:left w:val="none" w:sz="0" w:space="0" w:color="auto"/>
                    <w:bottom w:val="none" w:sz="0" w:space="0" w:color="auto"/>
                    <w:right w:val="none" w:sz="0" w:space="0" w:color="auto"/>
                  </w:divBdr>
                  <w:divsChild>
                    <w:div w:id="837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0473">
      <w:bodyDiv w:val="1"/>
      <w:marLeft w:val="0"/>
      <w:marRight w:val="0"/>
      <w:marTop w:val="0"/>
      <w:marBottom w:val="0"/>
      <w:divBdr>
        <w:top w:val="none" w:sz="0" w:space="0" w:color="auto"/>
        <w:left w:val="none" w:sz="0" w:space="0" w:color="auto"/>
        <w:bottom w:val="none" w:sz="0" w:space="0" w:color="auto"/>
        <w:right w:val="none" w:sz="0" w:space="0" w:color="auto"/>
      </w:divBdr>
    </w:div>
    <w:div w:id="157424150">
      <w:bodyDiv w:val="1"/>
      <w:marLeft w:val="0"/>
      <w:marRight w:val="0"/>
      <w:marTop w:val="0"/>
      <w:marBottom w:val="0"/>
      <w:divBdr>
        <w:top w:val="none" w:sz="0" w:space="0" w:color="auto"/>
        <w:left w:val="none" w:sz="0" w:space="0" w:color="auto"/>
        <w:bottom w:val="none" w:sz="0" w:space="0" w:color="auto"/>
        <w:right w:val="none" w:sz="0" w:space="0" w:color="auto"/>
      </w:divBdr>
    </w:div>
    <w:div w:id="209222434">
      <w:bodyDiv w:val="1"/>
      <w:marLeft w:val="0"/>
      <w:marRight w:val="0"/>
      <w:marTop w:val="0"/>
      <w:marBottom w:val="0"/>
      <w:divBdr>
        <w:top w:val="none" w:sz="0" w:space="0" w:color="auto"/>
        <w:left w:val="none" w:sz="0" w:space="0" w:color="auto"/>
        <w:bottom w:val="none" w:sz="0" w:space="0" w:color="auto"/>
        <w:right w:val="none" w:sz="0" w:space="0" w:color="auto"/>
      </w:divBdr>
    </w:div>
    <w:div w:id="261764747">
      <w:bodyDiv w:val="1"/>
      <w:marLeft w:val="0"/>
      <w:marRight w:val="0"/>
      <w:marTop w:val="0"/>
      <w:marBottom w:val="0"/>
      <w:divBdr>
        <w:top w:val="none" w:sz="0" w:space="0" w:color="auto"/>
        <w:left w:val="none" w:sz="0" w:space="0" w:color="auto"/>
        <w:bottom w:val="none" w:sz="0" w:space="0" w:color="auto"/>
        <w:right w:val="none" w:sz="0" w:space="0" w:color="auto"/>
      </w:divBdr>
      <w:divsChild>
        <w:div w:id="1046300193">
          <w:marLeft w:val="0"/>
          <w:marRight w:val="0"/>
          <w:marTop w:val="0"/>
          <w:marBottom w:val="0"/>
          <w:divBdr>
            <w:top w:val="none" w:sz="0" w:space="0" w:color="auto"/>
            <w:left w:val="none" w:sz="0" w:space="0" w:color="auto"/>
            <w:bottom w:val="none" w:sz="0" w:space="0" w:color="auto"/>
            <w:right w:val="none" w:sz="0" w:space="0" w:color="auto"/>
          </w:divBdr>
          <w:divsChild>
            <w:div w:id="916206964">
              <w:marLeft w:val="0"/>
              <w:marRight w:val="0"/>
              <w:marTop w:val="0"/>
              <w:marBottom w:val="0"/>
              <w:divBdr>
                <w:top w:val="none" w:sz="0" w:space="0" w:color="auto"/>
                <w:left w:val="none" w:sz="0" w:space="0" w:color="auto"/>
                <w:bottom w:val="none" w:sz="0" w:space="0" w:color="auto"/>
                <w:right w:val="none" w:sz="0" w:space="0" w:color="auto"/>
              </w:divBdr>
              <w:divsChild>
                <w:div w:id="154996195">
                  <w:marLeft w:val="0"/>
                  <w:marRight w:val="0"/>
                  <w:marTop w:val="0"/>
                  <w:marBottom w:val="0"/>
                  <w:divBdr>
                    <w:top w:val="none" w:sz="0" w:space="0" w:color="auto"/>
                    <w:left w:val="none" w:sz="0" w:space="0" w:color="auto"/>
                    <w:bottom w:val="none" w:sz="0" w:space="0" w:color="auto"/>
                    <w:right w:val="none" w:sz="0" w:space="0" w:color="auto"/>
                  </w:divBdr>
                  <w:divsChild>
                    <w:div w:id="283855040">
                      <w:marLeft w:val="0"/>
                      <w:marRight w:val="0"/>
                      <w:marTop w:val="0"/>
                      <w:marBottom w:val="0"/>
                      <w:divBdr>
                        <w:top w:val="none" w:sz="0" w:space="0" w:color="auto"/>
                        <w:left w:val="none" w:sz="0" w:space="0" w:color="auto"/>
                        <w:bottom w:val="none" w:sz="0" w:space="0" w:color="auto"/>
                        <w:right w:val="none" w:sz="0" w:space="0" w:color="auto"/>
                      </w:divBdr>
                      <w:divsChild>
                        <w:div w:id="692150653">
                          <w:marLeft w:val="0"/>
                          <w:marRight w:val="0"/>
                          <w:marTop w:val="0"/>
                          <w:marBottom w:val="0"/>
                          <w:divBdr>
                            <w:top w:val="none" w:sz="0" w:space="0" w:color="auto"/>
                            <w:left w:val="none" w:sz="0" w:space="0" w:color="auto"/>
                            <w:bottom w:val="none" w:sz="0" w:space="0" w:color="auto"/>
                            <w:right w:val="none" w:sz="0" w:space="0" w:color="auto"/>
                          </w:divBdr>
                          <w:divsChild>
                            <w:div w:id="296110146">
                              <w:marLeft w:val="0"/>
                              <w:marRight w:val="0"/>
                              <w:marTop w:val="0"/>
                              <w:marBottom w:val="0"/>
                              <w:divBdr>
                                <w:top w:val="none" w:sz="0" w:space="0" w:color="auto"/>
                                <w:left w:val="none" w:sz="0" w:space="0" w:color="auto"/>
                                <w:bottom w:val="none" w:sz="0" w:space="0" w:color="auto"/>
                                <w:right w:val="none" w:sz="0" w:space="0" w:color="auto"/>
                              </w:divBdr>
                              <w:divsChild>
                                <w:div w:id="968633337">
                                  <w:marLeft w:val="0"/>
                                  <w:marRight w:val="0"/>
                                  <w:marTop w:val="0"/>
                                  <w:marBottom w:val="0"/>
                                  <w:divBdr>
                                    <w:top w:val="none" w:sz="0" w:space="0" w:color="auto"/>
                                    <w:left w:val="none" w:sz="0" w:space="0" w:color="auto"/>
                                    <w:bottom w:val="none" w:sz="0" w:space="0" w:color="auto"/>
                                    <w:right w:val="none" w:sz="0" w:space="0" w:color="auto"/>
                                  </w:divBdr>
                                  <w:divsChild>
                                    <w:div w:id="660278428">
                                      <w:marLeft w:val="0"/>
                                      <w:marRight w:val="0"/>
                                      <w:marTop w:val="0"/>
                                      <w:marBottom w:val="0"/>
                                      <w:divBdr>
                                        <w:top w:val="none" w:sz="0" w:space="0" w:color="auto"/>
                                        <w:left w:val="none" w:sz="0" w:space="0" w:color="auto"/>
                                        <w:bottom w:val="none" w:sz="0" w:space="0" w:color="auto"/>
                                        <w:right w:val="none" w:sz="0" w:space="0" w:color="auto"/>
                                      </w:divBdr>
                                      <w:divsChild>
                                        <w:div w:id="410733417">
                                          <w:marLeft w:val="0"/>
                                          <w:marRight w:val="0"/>
                                          <w:marTop w:val="0"/>
                                          <w:marBottom w:val="0"/>
                                          <w:divBdr>
                                            <w:top w:val="none" w:sz="0" w:space="0" w:color="auto"/>
                                            <w:left w:val="none" w:sz="0" w:space="0" w:color="auto"/>
                                            <w:bottom w:val="none" w:sz="0" w:space="0" w:color="auto"/>
                                            <w:right w:val="none" w:sz="0" w:space="0" w:color="auto"/>
                                          </w:divBdr>
                                          <w:divsChild>
                                            <w:div w:id="903223859">
                                              <w:marLeft w:val="0"/>
                                              <w:marRight w:val="0"/>
                                              <w:marTop w:val="0"/>
                                              <w:marBottom w:val="0"/>
                                              <w:divBdr>
                                                <w:top w:val="none" w:sz="0" w:space="0" w:color="auto"/>
                                                <w:left w:val="none" w:sz="0" w:space="0" w:color="auto"/>
                                                <w:bottom w:val="none" w:sz="0" w:space="0" w:color="auto"/>
                                                <w:right w:val="none" w:sz="0" w:space="0" w:color="auto"/>
                                              </w:divBdr>
                                              <w:divsChild>
                                                <w:div w:id="12938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285934">
          <w:marLeft w:val="0"/>
          <w:marRight w:val="0"/>
          <w:marTop w:val="0"/>
          <w:marBottom w:val="0"/>
          <w:divBdr>
            <w:top w:val="none" w:sz="0" w:space="0" w:color="auto"/>
            <w:left w:val="none" w:sz="0" w:space="0" w:color="auto"/>
            <w:bottom w:val="none" w:sz="0" w:space="0" w:color="auto"/>
            <w:right w:val="none" w:sz="0" w:space="0" w:color="auto"/>
          </w:divBdr>
          <w:divsChild>
            <w:div w:id="357050855">
              <w:marLeft w:val="0"/>
              <w:marRight w:val="0"/>
              <w:marTop w:val="0"/>
              <w:marBottom w:val="0"/>
              <w:divBdr>
                <w:top w:val="none" w:sz="0" w:space="0" w:color="auto"/>
                <w:left w:val="none" w:sz="0" w:space="0" w:color="auto"/>
                <w:bottom w:val="none" w:sz="0" w:space="0" w:color="auto"/>
                <w:right w:val="none" w:sz="0" w:space="0" w:color="auto"/>
              </w:divBdr>
              <w:divsChild>
                <w:div w:id="1023943496">
                  <w:marLeft w:val="0"/>
                  <w:marRight w:val="0"/>
                  <w:marTop w:val="0"/>
                  <w:marBottom w:val="0"/>
                  <w:divBdr>
                    <w:top w:val="none" w:sz="0" w:space="0" w:color="auto"/>
                    <w:left w:val="none" w:sz="0" w:space="0" w:color="auto"/>
                    <w:bottom w:val="none" w:sz="0" w:space="0" w:color="auto"/>
                    <w:right w:val="none" w:sz="0" w:space="0" w:color="auto"/>
                  </w:divBdr>
                  <w:divsChild>
                    <w:div w:id="188949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03421">
      <w:bodyDiv w:val="1"/>
      <w:marLeft w:val="0"/>
      <w:marRight w:val="0"/>
      <w:marTop w:val="0"/>
      <w:marBottom w:val="0"/>
      <w:divBdr>
        <w:top w:val="none" w:sz="0" w:space="0" w:color="auto"/>
        <w:left w:val="none" w:sz="0" w:space="0" w:color="auto"/>
        <w:bottom w:val="none" w:sz="0" w:space="0" w:color="auto"/>
        <w:right w:val="none" w:sz="0" w:space="0" w:color="auto"/>
      </w:divBdr>
    </w:div>
    <w:div w:id="270208931">
      <w:bodyDiv w:val="1"/>
      <w:marLeft w:val="0"/>
      <w:marRight w:val="0"/>
      <w:marTop w:val="0"/>
      <w:marBottom w:val="0"/>
      <w:divBdr>
        <w:top w:val="none" w:sz="0" w:space="0" w:color="auto"/>
        <w:left w:val="none" w:sz="0" w:space="0" w:color="auto"/>
        <w:bottom w:val="none" w:sz="0" w:space="0" w:color="auto"/>
        <w:right w:val="none" w:sz="0" w:space="0" w:color="auto"/>
      </w:divBdr>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42242863">
      <w:bodyDiv w:val="1"/>
      <w:marLeft w:val="0"/>
      <w:marRight w:val="0"/>
      <w:marTop w:val="0"/>
      <w:marBottom w:val="0"/>
      <w:divBdr>
        <w:top w:val="none" w:sz="0" w:space="0" w:color="auto"/>
        <w:left w:val="none" w:sz="0" w:space="0" w:color="auto"/>
        <w:bottom w:val="none" w:sz="0" w:space="0" w:color="auto"/>
        <w:right w:val="none" w:sz="0" w:space="0" w:color="auto"/>
      </w:divBdr>
    </w:div>
    <w:div w:id="349453382">
      <w:bodyDiv w:val="1"/>
      <w:marLeft w:val="0"/>
      <w:marRight w:val="0"/>
      <w:marTop w:val="0"/>
      <w:marBottom w:val="0"/>
      <w:divBdr>
        <w:top w:val="none" w:sz="0" w:space="0" w:color="auto"/>
        <w:left w:val="none" w:sz="0" w:space="0" w:color="auto"/>
        <w:bottom w:val="none" w:sz="0" w:space="0" w:color="auto"/>
        <w:right w:val="none" w:sz="0" w:space="0" w:color="auto"/>
      </w:divBdr>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380712044">
      <w:bodyDiv w:val="1"/>
      <w:marLeft w:val="0"/>
      <w:marRight w:val="0"/>
      <w:marTop w:val="0"/>
      <w:marBottom w:val="0"/>
      <w:divBdr>
        <w:top w:val="none" w:sz="0" w:space="0" w:color="auto"/>
        <w:left w:val="none" w:sz="0" w:space="0" w:color="auto"/>
        <w:bottom w:val="none" w:sz="0" w:space="0" w:color="auto"/>
        <w:right w:val="none" w:sz="0" w:space="0" w:color="auto"/>
      </w:divBdr>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511530522">
      <w:bodyDiv w:val="1"/>
      <w:marLeft w:val="0"/>
      <w:marRight w:val="0"/>
      <w:marTop w:val="0"/>
      <w:marBottom w:val="0"/>
      <w:divBdr>
        <w:top w:val="none" w:sz="0" w:space="0" w:color="auto"/>
        <w:left w:val="none" w:sz="0" w:space="0" w:color="auto"/>
        <w:bottom w:val="none" w:sz="0" w:space="0" w:color="auto"/>
        <w:right w:val="none" w:sz="0" w:space="0" w:color="auto"/>
      </w:divBdr>
    </w:div>
    <w:div w:id="545020417">
      <w:bodyDiv w:val="1"/>
      <w:marLeft w:val="0"/>
      <w:marRight w:val="0"/>
      <w:marTop w:val="0"/>
      <w:marBottom w:val="0"/>
      <w:divBdr>
        <w:top w:val="none" w:sz="0" w:space="0" w:color="auto"/>
        <w:left w:val="none" w:sz="0" w:space="0" w:color="auto"/>
        <w:bottom w:val="none" w:sz="0" w:space="0" w:color="auto"/>
        <w:right w:val="none" w:sz="0" w:space="0" w:color="auto"/>
      </w:divBdr>
      <w:divsChild>
        <w:div w:id="415244981">
          <w:marLeft w:val="0"/>
          <w:marRight w:val="0"/>
          <w:marTop w:val="0"/>
          <w:marBottom w:val="0"/>
          <w:divBdr>
            <w:top w:val="none" w:sz="0" w:space="0" w:color="auto"/>
            <w:left w:val="none" w:sz="0" w:space="0" w:color="auto"/>
            <w:bottom w:val="none" w:sz="0" w:space="0" w:color="auto"/>
            <w:right w:val="none" w:sz="0" w:space="0" w:color="auto"/>
          </w:divBdr>
          <w:divsChild>
            <w:div w:id="1610311788">
              <w:marLeft w:val="0"/>
              <w:marRight w:val="0"/>
              <w:marTop w:val="0"/>
              <w:marBottom w:val="0"/>
              <w:divBdr>
                <w:top w:val="none" w:sz="0" w:space="0" w:color="auto"/>
                <w:left w:val="none" w:sz="0" w:space="0" w:color="auto"/>
                <w:bottom w:val="none" w:sz="0" w:space="0" w:color="auto"/>
                <w:right w:val="none" w:sz="0" w:space="0" w:color="auto"/>
              </w:divBdr>
              <w:divsChild>
                <w:div w:id="1633559213">
                  <w:marLeft w:val="0"/>
                  <w:marRight w:val="0"/>
                  <w:marTop w:val="0"/>
                  <w:marBottom w:val="0"/>
                  <w:divBdr>
                    <w:top w:val="none" w:sz="0" w:space="0" w:color="auto"/>
                    <w:left w:val="none" w:sz="0" w:space="0" w:color="auto"/>
                    <w:bottom w:val="none" w:sz="0" w:space="0" w:color="auto"/>
                    <w:right w:val="none" w:sz="0" w:space="0" w:color="auto"/>
                  </w:divBdr>
                  <w:divsChild>
                    <w:div w:id="1106998182">
                      <w:marLeft w:val="0"/>
                      <w:marRight w:val="0"/>
                      <w:marTop w:val="0"/>
                      <w:marBottom w:val="0"/>
                      <w:divBdr>
                        <w:top w:val="none" w:sz="0" w:space="0" w:color="auto"/>
                        <w:left w:val="none" w:sz="0" w:space="0" w:color="auto"/>
                        <w:bottom w:val="none" w:sz="0" w:space="0" w:color="auto"/>
                        <w:right w:val="none" w:sz="0" w:space="0" w:color="auto"/>
                      </w:divBdr>
                      <w:divsChild>
                        <w:div w:id="397751908">
                          <w:marLeft w:val="0"/>
                          <w:marRight w:val="0"/>
                          <w:marTop w:val="0"/>
                          <w:marBottom w:val="0"/>
                          <w:divBdr>
                            <w:top w:val="none" w:sz="0" w:space="0" w:color="auto"/>
                            <w:left w:val="none" w:sz="0" w:space="0" w:color="auto"/>
                            <w:bottom w:val="none" w:sz="0" w:space="0" w:color="auto"/>
                            <w:right w:val="none" w:sz="0" w:space="0" w:color="auto"/>
                          </w:divBdr>
                          <w:divsChild>
                            <w:div w:id="1238519307">
                              <w:marLeft w:val="0"/>
                              <w:marRight w:val="0"/>
                              <w:marTop w:val="0"/>
                              <w:marBottom w:val="0"/>
                              <w:divBdr>
                                <w:top w:val="none" w:sz="0" w:space="0" w:color="auto"/>
                                <w:left w:val="none" w:sz="0" w:space="0" w:color="auto"/>
                                <w:bottom w:val="none" w:sz="0" w:space="0" w:color="auto"/>
                                <w:right w:val="none" w:sz="0" w:space="0" w:color="auto"/>
                              </w:divBdr>
                              <w:divsChild>
                                <w:div w:id="51777699">
                                  <w:marLeft w:val="0"/>
                                  <w:marRight w:val="0"/>
                                  <w:marTop w:val="0"/>
                                  <w:marBottom w:val="0"/>
                                  <w:divBdr>
                                    <w:top w:val="none" w:sz="0" w:space="0" w:color="auto"/>
                                    <w:left w:val="none" w:sz="0" w:space="0" w:color="auto"/>
                                    <w:bottom w:val="none" w:sz="0" w:space="0" w:color="auto"/>
                                    <w:right w:val="none" w:sz="0" w:space="0" w:color="auto"/>
                                  </w:divBdr>
                                  <w:divsChild>
                                    <w:div w:id="1472095456">
                                      <w:marLeft w:val="0"/>
                                      <w:marRight w:val="0"/>
                                      <w:marTop w:val="0"/>
                                      <w:marBottom w:val="0"/>
                                      <w:divBdr>
                                        <w:top w:val="none" w:sz="0" w:space="0" w:color="auto"/>
                                        <w:left w:val="none" w:sz="0" w:space="0" w:color="auto"/>
                                        <w:bottom w:val="none" w:sz="0" w:space="0" w:color="auto"/>
                                        <w:right w:val="none" w:sz="0" w:space="0" w:color="auto"/>
                                      </w:divBdr>
                                      <w:divsChild>
                                        <w:div w:id="2111585463">
                                          <w:marLeft w:val="0"/>
                                          <w:marRight w:val="0"/>
                                          <w:marTop w:val="0"/>
                                          <w:marBottom w:val="0"/>
                                          <w:divBdr>
                                            <w:top w:val="none" w:sz="0" w:space="0" w:color="auto"/>
                                            <w:left w:val="none" w:sz="0" w:space="0" w:color="auto"/>
                                            <w:bottom w:val="none" w:sz="0" w:space="0" w:color="auto"/>
                                            <w:right w:val="none" w:sz="0" w:space="0" w:color="auto"/>
                                          </w:divBdr>
                                          <w:divsChild>
                                            <w:div w:id="1806435672">
                                              <w:marLeft w:val="0"/>
                                              <w:marRight w:val="0"/>
                                              <w:marTop w:val="0"/>
                                              <w:marBottom w:val="0"/>
                                              <w:divBdr>
                                                <w:top w:val="none" w:sz="0" w:space="0" w:color="auto"/>
                                                <w:left w:val="none" w:sz="0" w:space="0" w:color="auto"/>
                                                <w:bottom w:val="none" w:sz="0" w:space="0" w:color="auto"/>
                                                <w:right w:val="none" w:sz="0" w:space="0" w:color="auto"/>
                                              </w:divBdr>
                                              <w:divsChild>
                                                <w:div w:id="15337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503033">
          <w:marLeft w:val="0"/>
          <w:marRight w:val="0"/>
          <w:marTop w:val="0"/>
          <w:marBottom w:val="0"/>
          <w:divBdr>
            <w:top w:val="none" w:sz="0" w:space="0" w:color="auto"/>
            <w:left w:val="none" w:sz="0" w:space="0" w:color="auto"/>
            <w:bottom w:val="none" w:sz="0" w:space="0" w:color="auto"/>
            <w:right w:val="none" w:sz="0" w:space="0" w:color="auto"/>
          </w:divBdr>
          <w:divsChild>
            <w:div w:id="604578573">
              <w:marLeft w:val="0"/>
              <w:marRight w:val="0"/>
              <w:marTop w:val="0"/>
              <w:marBottom w:val="0"/>
              <w:divBdr>
                <w:top w:val="none" w:sz="0" w:space="0" w:color="auto"/>
                <w:left w:val="none" w:sz="0" w:space="0" w:color="auto"/>
                <w:bottom w:val="none" w:sz="0" w:space="0" w:color="auto"/>
                <w:right w:val="none" w:sz="0" w:space="0" w:color="auto"/>
              </w:divBdr>
              <w:divsChild>
                <w:div w:id="342436808">
                  <w:marLeft w:val="0"/>
                  <w:marRight w:val="0"/>
                  <w:marTop w:val="0"/>
                  <w:marBottom w:val="0"/>
                  <w:divBdr>
                    <w:top w:val="none" w:sz="0" w:space="0" w:color="auto"/>
                    <w:left w:val="none" w:sz="0" w:space="0" w:color="auto"/>
                    <w:bottom w:val="none" w:sz="0" w:space="0" w:color="auto"/>
                    <w:right w:val="none" w:sz="0" w:space="0" w:color="auto"/>
                  </w:divBdr>
                  <w:divsChild>
                    <w:div w:id="13956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49371">
      <w:bodyDiv w:val="1"/>
      <w:marLeft w:val="0"/>
      <w:marRight w:val="0"/>
      <w:marTop w:val="0"/>
      <w:marBottom w:val="0"/>
      <w:divBdr>
        <w:top w:val="none" w:sz="0" w:space="0" w:color="auto"/>
        <w:left w:val="none" w:sz="0" w:space="0" w:color="auto"/>
        <w:bottom w:val="none" w:sz="0" w:space="0" w:color="auto"/>
        <w:right w:val="none" w:sz="0" w:space="0" w:color="auto"/>
      </w:divBdr>
    </w:div>
    <w:div w:id="713114331">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759571597">
      <w:bodyDiv w:val="1"/>
      <w:marLeft w:val="0"/>
      <w:marRight w:val="0"/>
      <w:marTop w:val="0"/>
      <w:marBottom w:val="0"/>
      <w:divBdr>
        <w:top w:val="none" w:sz="0" w:space="0" w:color="auto"/>
        <w:left w:val="none" w:sz="0" w:space="0" w:color="auto"/>
        <w:bottom w:val="none" w:sz="0" w:space="0" w:color="auto"/>
        <w:right w:val="none" w:sz="0" w:space="0" w:color="auto"/>
      </w:divBdr>
    </w:div>
    <w:div w:id="781075578">
      <w:bodyDiv w:val="1"/>
      <w:marLeft w:val="0"/>
      <w:marRight w:val="0"/>
      <w:marTop w:val="0"/>
      <w:marBottom w:val="0"/>
      <w:divBdr>
        <w:top w:val="none" w:sz="0" w:space="0" w:color="auto"/>
        <w:left w:val="none" w:sz="0" w:space="0" w:color="auto"/>
        <w:bottom w:val="none" w:sz="0" w:space="0" w:color="auto"/>
        <w:right w:val="none" w:sz="0" w:space="0" w:color="auto"/>
      </w:divBdr>
    </w:div>
    <w:div w:id="803625475">
      <w:bodyDiv w:val="1"/>
      <w:marLeft w:val="0"/>
      <w:marRight w:val="0"/>
      <w:marTop w:val="0"/>
      <w:marBottom w:val="0"/>
      <w:divBdr>
        <w:top w:val="none" w:sz="0" w:space="0" w:color="auto"/>
        <w:left w:val="none" w:sz="0" w:space="0" w:color="auto"/>
        <w:bottom w:val="none" w:sz="0" w:space="0" w:color="auto"/>
        <w:right w:val="none" w:sz="0" w:space="0" w:color="auto"/>
      </w:divBdr>
      <w:divsChild>
        <w:div w:id="773788087">
          <w:marLeft w:val="0"/>
          <w:marRight w:val="0"/>
          <w:marTop w:val="0"/>
          <w:marBottom w:val="0"/>
          <w:divBdr>
            <w:top w:val="none" w:sz="0" w:space="0" w:color="auto"/>
            <w:left w:val="none" w:sz="0" w:space="0" w:color="auto"/>
            <w:bottom w:val="none" w:sz="0" w:space="0" w:color="auto"/>
            <w:right w:val="none" w:sz="0" w:space="0" w:color="auto"/>
          </w:divBdr>
          <w:divsChild>
            <w:div w:id="1936090327">
              <w:marLeft w:val="0"/>
              <w:marRight w:val="0"/>
              <w:marTop w:val="0"/>
              <w:marBottom w:val="0"/>
              <w:divBdr>
                <w:top w:val="none" w:sz="0" w:space="0" w:color="auto"/>
                <w:left w:val="none" w:sz="0" w:space="0" w:color="auto"/>
                <w:bottom w:val="none" w:sz="0" w:space="0" w:color="auto"/>
                <w:right w:val="none" w:sz="0" w:space="0" w:color="auto"/>
              </w:divBdr>
              <w:divsChild>
                <w:div w:id="2121489434">
                  <w:marLeft w:val="0"/>
                  <w:marRight w:val="0"/>
                  <w:marTop w:val="0"/>
                  <w:marBottom w:val="0"/>
                  <w:divBdr>
                    <w:top w:val="none" w:sz="0" w:space="0" w:color="auto"/>
                    <w:left w:val="none" w:sz="0" w:space="0" w:color="auto"/>
                    <w:bottom w:val="none" w:sz="0" w:space="0" w:color="auto"/>
                    <w:right w:val="none" w:sz="0" w:space="0" w:color="auto"/>
                  </w:divBdr>
                  <w:divsChild>
                    <w:div w:id="1788616686">
                      <w:marLeft w:val="0"/>
                      <w:marRight w:val="0"/>
                      <w:marTop w:val="0"/>
                      <w:marBottom w:val="0"/>
                      <w:divBdr>
                        <w:top w:val="none" w:sz="0" w:space="0" w:color="auto"/>
                        <w:left w:val="none" w:sz="0" w:space="0" w:color="auto"/>
                        <w:bottom w:val="none" w:sz="0" w:space="0" w:color="auto"/>
                        <w:right w:val="none" w:sz="0" w:space="0" w:color="auto"/>
                      </w:divBdr>
                      <w:divsChild>
                        <w:div w:id="2045397747">
                          <w:marLeft w:val="0"/>
                          <w:marRight w:val="0"/>
                          <w:marTop w:val="0"/>
                          <w:marBottom w:val="0"/>
                          <w:divBdr>
                            <w:top w:val="none" w:sz="0" w:space="0" w:color="auto"/>
                            <w:left w:val="none" w:sz="0" w:space="0" w:color="auto"/>
                            <w:bottom w:val="none" w:sz="0" w:space="0" w:color="auto"/>
                            <w:right w:val="none" w:sz="0" w:space="0" w:color="auto"/>
                          </w:divBdr>
                          <w:divsChild>
                            <w:div w:id="511068555">
                              <w:marLeft w:val="0"/>
                              <w:marRight w:val="0"/>
                              <w:marTop w:val="0"/>
                              <w:marBottom w:val="0"/>
                              <w:divBdr>
                                <w:top w:val="none" w:sz="0" w:space="0" w:color="auto"/>
                                <w:left w:val="none" w:sz="0" w:space="0" w:color="auto"/>
                                <w:bottom w:val="none" w:sz="0" w:space="0" w:color="auto"/>
                                <w:right w:val="none" w:sz="0" w:space="0" w:color="auto"/>
                              </w:divBdr>
                              <w:divsChild>
                                <w:div w:id="723717829">
                                  <w:marLeft w:val="0"/>
                                  <w:marRight w:val="0"/>
                                  <w:marTop w:val="0"/>
                                  <w:marBottom w:val="0"/>
                                  <w:divBdr>
                                    <w:top w:val="none" w:sz="0" w:space="0" w:color="auto"/>
                                    <w:left w:val="none" w:sz="0" w:space="0" w:color="auto"/>
                                    <w:bottom w:val="none" w:sz="0" w:space="0" w:color="auto"/>
                                    <w:right w:val="none" w:sz="0" w:space="0" w:color="auto"/>
                                  </w:divBdr>
                                  <w:divsChild>
                                    <w:div w:id="380593100">
                                      <w:marLeft w:val="0"/>
                                      <w:marRight w:val="0"/>
                                      <w:marTop w:val="0"/>
                                      <w:marBottom w:val="0"/>
                                      <w:divBdr>
                                        <w:top w:val="none" w:sz="0" w:space="0" w:color="auto"/>
                                        <w:left w:val="none" w:sz="0" w:space="0" w:color="auto"/>
                                        <w:bottom w:val="none" w:sz="0" w:space="0" w:color="auto"/>
                                        <w:right w:val="none" w:sz="0" w:space="0" w:color="auto"/>
                                      </w:divBdr>
                                      <w:divsChild>
                                        <w:div w:id="1015421344">
                                          <w:marLeft w:val="0"/>
                                          <w:marRight w:val="0"/>
                                          <w:marTop w:val="0"/>
                                          <w:marBottom w:val="0"/>
                                          <w:divBdr>
                                            <w:top w:val="none" w:sz="0" w:space="0" w:color="auto"/>
                                            <w:left w:val="none" w:sz="0" w:space="0" w:color="auto"/>
                                            <w:bottom w:val="none" w:sz="0" w:space="0" w:color="auto"/>
                                            <w:right w:val="none" w:sz="0" w:space="0" w:color="auto"/>
                                          </w:divBdr>
                                          <w:divsChild>
                                            <w:div w:id="491339432">
                                              <w:marLeft w:val="0"/>
                                              <w:marRight w:val="0"/>
                                              <w:marTop w:val="0"/>
                                              <w:marBottom w:val="0"/>
                                              <w:divBdr>
                                                <w:top w:val="none" w:sz="0" w:space="0" w:color="auto"/>
                                                <w:left w:val="none" w:sz="0" w:space="0" w:color="auto"/>
                                                <w:bottom w:val="none" w:sz="0" w:space="0" w:color="auto"/>
                                                <w:right w:val="none" w:sz="0" w:space="0" w:color="auto"/>
                                              </w:divBdr>
                                              <w:divsChild>
                                                <w:div w:id="17534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776331">
          <w:marLeft w:val="0"/>
          <w:marRight w:val="0"/>
          <w:marTop w:val="0"/>
          <w:marBottom w:val="0"/>
          <w:divBdr>
            <w:top w:val="none" w:sz="0" w:space="0" w:color="auto"/>
            <w:left w:val="none" w:sz="0" w:space="0" w:color="auto"/>
            <w:bottom w:val="none" w:sz="0" w:space="0" w:color="auto"/>
            <w:right w:val="none" w:sz="0" w:space="0" w:color="auto"/>
          </w:divBdr>
          <w:divsChild>
            <w:div w:id="1772360215">
              <w:marLeft w:val="0"/>
              <w:marRight w:val="0"/>
              <w:marTop w:val="0"/>
              <w:marBottom w:val="0"/>
              <w:divBdr>
                <w:top w:val="none" w:sz="0" w:space="0" w:color="auto"/>
                <w:left w:val="none" w:sz="0" w:space="0" w:color="auto"/>
                <w:bottom w:val="none" w:sz="0" w:space="0" w:color="auto"/>
                <w:right w:val="none" w:sz="0" w:space="0" w:color="auto"/>
              </w:divBdr>
              <w:divsChild>
                <w:div w:id="3753578">
                  <w:marLeft w:val="0"/>
                  <w:marRight w:val="0"/>
                  <w:marTop w:val="0"/>
                  <w:marBottom w:val="0"/>
                  <w:divBdr>
                    <w:top w:val="none" w:sz="0" w:space="0" w:color="auto"/>
                    <w:left w:val="none" w:sz="0" w:space="0" w:color="auto"/>
                    <w:bottom w:val="none" w:sz="0" w:space="0" w:color="auto"/>
                    <w:right w:val="none" w:sz="0" w:space="0" w:color="auto"/>
                  </w:divBdr>
                  <w:divsChild>
                    <w:div w:id="6201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49408">
      <w:bodyDiv w:val="1"/>
      <w:marLeft w:val="0"/>
      <w:marRight w:val="0"/>
      <w:marTop w:val="0"/>
      <w:marBottom w:val="0"/>
      <w:divBdr>
        <w:top w:val="none" w:sz="0" w:space="0" w:color="auto"/>
        <w:left w:val="none" w:sz="0" w:space="0" w:color="auto"/>
        <w:bottom w:val="none" w:sz="0" w:space="0" w:color="auto"/>
        <w:right w:val="none" w:sz="0" w:space="0" w:color="auto"/>
      </w:divBdr>
    </w:div>
    <w:div w:id="972178565">
      <w:bodyDiv w:val="1"/>
      <w:marLeft w:val="0"/>
      <w:marRight w:val="0"/>
      <w:marTop w:val="0"/>
      <w:marBottom w:val="0"/>
      <w:divBdr>
        <w:top w:val="none" w:sz="0" w:space="0" w:color="auto"/>
        <w:left w:val="none" w:sz="0" w:space="0" w:color="auto"/>
        <w:bottom w:val="none" w:sz="0" w:space="0" w:color="auto"/>
        <w:right w:val="none" w:sz="0" w:space="0" w:color="auto"/>
      </w:divBdr>
    </w:div>
    <w:div w:id="1054964318">
      <w:bodyDiv w:val="1"/>
      <w:marLeft w:val="0"/>
      <w:marRight w:val="0"/>
      <w:marTop w:val="0"/>
      <w:marBottom w:val="0"/>
      <w:divBdr>
        <w:top w:val="none" w:sz="0" w:space="0" w:color="auto"/>
        <w:left w:val="none" w:sz="0" w:space="0" w:color="auto"/>
        <w:bottom w:val="none" w:sz="0" w:space="0" w:color="auto"/>
        <w:right w:val="none" w:sz="0" w:space="0" w:color="auto"/>
      </w:divBdr>
      <w:divsChild>
        <w:div w:id="1035352791">
          <w:marLeft w:val="0"/>
          <w:marRight w:val="0"/>
          <w:marTop w:val="0"/>
          <w:marBottom w:val="0"/>
          <w:divBdr>
            <w:top w:val="none" w:sz="0" w:space="0" w:color="auto"/>
            <w:left w:val="none" w:sz="0" w:space="0" w:color="auto"/>
            <w:bottom w:val="none" w:sz="0" w:space="0" w:color="auto"/>
            <w:right w:val="none" w:sz="0" w:space="0" w:color="auto"/>
          </w:divBdr>
          <w:divsChild>
            <w:div w:id="1653828340">
              <w:marLeft w:val="0"/>
              <w:marRight w:val="0"/>
              <w:marTop w:val="0"/>
              <w:marBottom w:val="0"/>
              <w:divBdr>
                <w:top w:val="none" w:sz="0" w:space="0" w:color="auto"/>
                <w:left w:val="none" w:sz="0" w:space="0" w:color="auto"/>
                <w:bottom w:val="none" w:sz="0" w:space="0" w:color="auto"/>
                <w:right w:val="none" w:sz="0" w:space="0" w:color="auto"/>
              </w:divBdr>
              <w:divsChild>
                <w:div w:id="1905067211">
                  <w:marLeft w:val="0"/>
                  <w:marRight w:val="0"/>
                  <w:marTop w:val="0"/>
                  <w:marBottom w:val="0"/>
                  <w:divBdr>
                    <w:top w:val="none" w:sz="0" w:space="0" w:color="auto"/>
                    <w:left w:val="none" w:sz="0" w:space="0" w:color="auto"/>
                    <w:bottom w:val="none" w:sz="0" w:space="0" w:color="auto"/>
                    <w:right w:val="none" w:sz="0" w:space="0" w:color="auto"/>
                  </w:divBdr>
                  <w:divsChild>
                    <w:div w:id="1183206502">
                      <w:marLeft w:val="0"/>
                      <w:marRight w:val="0"/>
                      <w:marTop w:val="0"/>
                      <w:marBottom w:val="0"/>
                      <w:divBdr>
                        <w:top w:val="none" w:sz="0" w:space="0" w:color="auto"/>
                        <w:left w:val="none" w:sz="0" w:space="0" w:color="auto"/>
                        <w:bottom w:val="none" w:sz="0" w:space="0" w:color="auto"/>
                        <w:right w:val="none" w:sz="0" w:space="0" w:color="auto"/>
                      </w:divBdr>
                      <w:divsChild>
                        <w:div w:id="1194153865">
                          <w:marLeft w:val="0"/>
                          <w:marRight w:val="0"/>
                          <w:marTop w:val="0"/>
                          <w:marBottom w:val="0"/>
                          <w:divBdr>
                            <w:top w:val="none" w:sz="0" w:space="0" w:color="auto"/>
                            <w:left w:val="none" w:sz="0" w:space="0" w:color="auto"/>
                            <w:bottom w:val="none" w:sz="0" w:space="0" w:color="auto"/>
                            <w:right w:val="none" w:sz="0" w:space="0" w:color="auto"/>
                          </w:divBdr>
                          <w:divsChild>
                            <w:div w:id="431827532">
                              <w:marLeft w:val="0"/>
                              <w:marRight w:val="0"/>
                              <w:marTop w:val="0"/>
                              <w:marBottom w:val="0"/>
                              <w:divBdr>
                                <w:top w:val="none" w:sz="0" w:space="0" w:color="auto"/>
                                <w:left w:val="none" w:sz="0" w:space="0" w:color="auto"/>
                                <w:bottom w:val="none" w:sz="0" w:space="0" w:color="auto"/>
                                <w:right w:val="none" w:sz="0" w:space="0" w:color="auto"/>
                              </w:divBdr>
                              <w:divsChild>
                                <w:div w:id="1011642039">
                                  <w:marLeft w:val="0"/>
                                  <w:marRight w:val="0"/>
                                  <w:marTop w:val="0"/>
                                  <w:marBottom w:val="0"/>
                                  <w:divBdr>
                                    <w:top w:val="none" w:sz="0" w:space="0" w:color="auto"/>
                                    <w:left w:val="none" w:sz="0" w:space="0" w:color="auto"/>
                                    <w:bottom w:val="none" w:sz="0" w:space="0" w:color="auto"/>
                                    <w:right w:val="none" w:sz="0" w:space="0" w:color="auto"/>
                                  </w:divBdr>
                                  <w:divsChild>
                                    <w:div w:id="1685740732">
                                      <w:marLeft w:val="0"/>
                                      <w:marRight w:val="0"/>
                                      <w:marTop w:val="0"/>
                                      <w:marBottom w:val="0"/>
                                      <w:divBdr>
                                        <w:top w:val="none" w:sz="0" w:space="0" w:color="auto"/>
                                        <w:left w:val="none" w:sz="0" w:space="0" w:color="auto"/>
                                        <w:bottom w:val="none" w:sz="0" w:space="0" w:color="auto"/>
                                        <w:right w:val="none" w:sz="0" w:space="0" w:color="auto"/>
                                      </w:divBdr>
                                      <w:divsChild>
                                        <w:div w:id="621962289">
                                          <w:marLeft w:val="0"/>
                                          <w:marRight w:val="0"/>
                                          <w:marTop w:val="0"/>
                                          <w:marBottom w:val="0"/>
                                          <w:divBdr>
                                            <w:top w:val="none" w:sz="0" w:space="0" w:color="auto"/>
                                            <w:left w:val="none" w:sz="0" w:space="0" w:color="auto"/>
                                            <w:bottom w:val="none" w:sz="0" w:space="0" w:color="auto"/>
                                            <w:right w:val="none" w:sz="0" w:space="0" w:color="auto"/>
                                          </w:divBdr>
                                          <w:divsChild>
                                            <w:div w:id="2146117152">
                                              <w:marLeft w:val="0"/>
                                              <w:marRight w:val="0"/>
                                              <w:marTop w:val="0"/>
                                              <w:marBottom w:val="0"/>
                                              <w:divBdr>
                                                <w:top w:val="none" w:sz="0" w:space="0" w:color="auto"/>
                                                <w:left w:val="none" w:sz="0" w:space="0" w:color="auto"/>
                                                <w:bottom w:val="none" w:sz="0" w:space="0" w:color="auto"/>
                                                <w:right w:val="none" w:sz="0" w:space="0" w:color="auto"/>
                                              </w:divBdr>
                                              <w:divsChild>
                                                <w:div w:id="6038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177713">
          <w:marLeft w:val="0"/>
          <w:marRight w:val="0"/>
          <w:marTop w:val="0"/>
          <w:marBottom w:val="0"/>
          <w:divBdr>
            <w:top w:val="none" w:sz="0" w:space="0" w:color="auto"/>
            <w:left w:val="none" w:sz="0" w:space="0" w:color="auto"/>
            <w:bottom w:val="none" w:sz="0" w:space="0" w:color="auto"/>
            <w:right w:val="none" w:sz="0" w:space="0" w:color="auto"/>
          </w:divBdr>
          <w:divsChild>
            <w:div w:id="1677228782">
              <w:marLeft w:val="0"/>
              <w:marRight w:val="0"/>
              <w:marTop w:val="0"/>
              <w:marBottom w:val="0"/>
              <w:divBdr>
                <w:top w:val="none" w:sz="0" w:space="0" w:color="auto"/>
                <w:left w:val="none" w:sz="0" w:space="0" w:color="auto"/>
                <w:bottom w:val="none" w:sz="0" w:space="0" w:color="auto"/>
                <w:right w:val="none" w:sz="0" w:space="0" w:color="auto"/>
              </w:divBdr>
              <w:divsChild>
                <w:div w:id="1585259548">
                  <w:marLeft w:val="0"/>
                  <w:marRight w:val="0"/>
                  <w:marTop w:val="0"/>
                  <w:marBottom w:val="0"/>
                  <w:divBdr>
                    <w:top w:val="none" w:sz="0" w:space="0" w:color="auto"/>
                    <w:left w:val="none" w:sz="0" w:space="0" w:color="auto"/>
                    <w:bottom w:val="none" w:sz="0" w:space="0" w:color="auto"/>
                    <w:right w:val="none" w:sz="0" w:space="0" w:color="auto"/>
                  </w:divBdr>
                  <w:divsChild>
                    <w:div w:id="12606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79226">
      <w:bodyDiv w:val="1"/>
      <w:marLeft w:val="0"/>
      <w:marRight w:val="0"/>
      <w:marTop w:val="0"/>
      <w:marBottom w:val="0"/>
      <w:divBdr>
        <w:top w:val="none" w:sz="0" w:space="0" w:color="auto"/>
        <w:left w:val="none" w:sz="0" w:space="0" w:color="auto"/>
        <w:bottom w:val="none" w:sz="0" w:space="0" w:color="auto"/>
        <w:right w:val="none" w:sz="0" w:space="0" w:color="auto"/>
      </w:divBdr>
    </w:div>
    <w:div w:id="1163550621">
      <w:bodyDiv w:val="1"/>
      <w:marLeft w:val="0"/>
      <w:marRight w:val="0"/>
      <w:marTop w:val="0"/>
      <w:marBottom w:val="0"/>
      <w:divBdr>
        <w:top w:val="none" w:sz="0" w:space="0" w:color="auto"/>
        <w:left w:val="none" w:sz="0" w:space="0" w:color="auto"/>
        <w:bottom w:val="none" w:sz="0" w:space="0" w:color="auto"/>
        <w:right w:val="none" w:sz="0" w:space="0" w:color="auto"/>
      </w:divBdr>
    </w:div>
    <w:div w:id="1187597734">
      <w:bodyDiv w:val="1"/>
      <w:marLeft w:val="0"/>
      <w:marRight w:val="0"/>
      <w:marTop w:val="0"/>
      <w:marBottom w:val="0"/>
      <w:divBdr>
        <w:top w:val="none" w:sz="0" w:space="0" w:color="auto"/>
        <w:left w:val="none" w:sz="0" w:space="0" w:color="auto"/>
        <w:bottom w:val="none" w:sz="0" w:space="0" w:color="auto"/>
        <w:right w:val="none" w:sz="0" w:space="0" w:color="auto"/>
      </w:divBdr>
    </w:div>
    <w:div w:id="1194153884">
      <w:bodyDiv w:val="1"/>
      <w:marLeft w:val="0"/>
      <w:marRight w:val="0"/>
      <w:marTop w:val="0"/>
      <w:marBottom w:val="0"/>
      <w:divBdr>
        <w:top w:val="none" w:sz="0" w:space="0" w:color="auto"/>
        <w:left w:val="none" w:sz="0" w:space="0" w:color="auto"/>
        <w:bottom w:val="none" w:sz="0" w:space="0" w:color="auto"/>
        <w:right w:val="none" w:sz="0" w:space="0" w:color="auto"/>
      </w:divBdr>
    </w:div>
    <w:div w:id="1213228760">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389453149">
      <w:bodyDiv w:val="1"/>
      <w:marLeft w:val="0"/>
      <w:marRight w:val="0"/>
      <w:marTop w:val="0"/>
      <w:marBottom w:val="0"/>
      <w:divBdr>
        <w:top w:val="none" w:sz="0" w:space="0" w:color="auto"/>
        <w:left w:val="none" w:sz="0" w:space="0" w:color="auto"/>
        <w:bottom w:val="none" w:sz="0" w:space="0" w:color="auto"/>
        <w:right w:val="none" w:sz="0" w:space="0" w:color="auto"/>
      </w:divBdr>
    </w:div>
    <w:div w:id="1497726430">
      <w:bodyDiv w:val="1"/>
      <w:marLeft w:val="0"/>
      <w:marRight w:val="0"/>
      <w:marTop w:val="0"/>
      <w:marBottom w:val="0"/>
      <w:divBdr>
        <w:top w:val="none" w:sz="0" w:space="0" w:color="auto"/>
        <w:left w:val="none" w:sz="0" w:space="0" w:color="auto"/>
        <w:bottom w:val="none" w:sz="0" w:space="0" w:color="auto"/>
        <w:right w:val="none" w:sz="0" w:space="0" w:color="auto"/>
      </w:divBdr>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573079756">
      <w:bodyDiv w:val="1"/>
      <w:marLeft w:val="0"/>
      <w:marRight w:val="0"/>
      <w:marTop w:val="0"/>
      <w:marBottom w:val="0"/>
      <w:divBdr>
        <w:top w:val="none" w:sz="0" w:space="0" w:color="auto"/>
        <w:left w:val="none" w:sz="0" w:space="0" w:color="auto"/>
        <w:bottom w:val="none" w:sz="0" w:space="0" w:color="auto"/>
        <w:right w:val="none" w:sz="0" w:space="0" w:color="auto"/>
      </w:divBdr>
    </w:div>
    <w:div w:id="1599480539">
      <w:bodyDiv w:val="1"/>
      <w:marLeft w:val="0"/>
      <w:marRight w:val="0"/>
      <w:marTop w:val="0"/>
      <w:marBottom w:val="0"/>
      <w:divBdr>
        <w:top w:val="none" w:sz="0" w:space="0" w:color="auto"/>
        <w:left w:val="none" w:sz="0" w:space="0" w:color="auto"/>
        <w:bottom w:val="none" w:sz="0" w:space="0" w:color="auto"/>
        <w:right w:val="none" w:sz="0" w:space="0" w:color="auto"/>
      </w:divBdr>
      <w:divsChild>
        <w:div w:id="701252667">
          <w:marLeft w:val="0"/>
          <w:marRight w:val="0"/>
          <w:marTop w:val="0"/>
          <w:marBottom w:val="0"/>
          <w:divBdr>
            <w:top w:val="none" w:sz="0" w:space="0" w:color="auto"/>
            <w:left w:val="none" w:sz="0" w:space="0" w:color="auto"/>
            <w:bottom w:val="none" w:sz="0" w:space="0" w:color="auto"/>
            <w:right w:val="none" w:sz="0" w:space="0" w:color="auto"/>
          </w:divBdr>
          <w:divsChild>
            <w:div w:id="606890439">
              <w:marLeft w:val="0"/>
              <w:marRight w:val="0"/>
              <w:marTop w:val="0"/>
              <w:marBottom w:val="0"/>
              <w:divBdr>
                <w:top w:val="none" w:sz="0" w:space="0" w:color="auto"/>
                <w:left w:val="none" w:sz="0" w:space="0" w:color="auto"/>
                <w:bottom w:val="none" w:sz="0" w:space="0" w:color="auto"/>
                <w:right w:val="none" w:sz="0" w:space="0" w:color="auto"/>
              </w:divBdr>
              <w:divsChild>
                <w:div w:id="1783185814">
                  <w:marLeft w:val="0"/>
                  <w:marRight w:val="0"/>
                  <w:marTop w:val="0"/>
                  <w:marBottom w:val="0"/>
                  <w:divBdr>
                    <w:top w:val="none" w:sz="0" w:space="0" w:color="auto"/>
                    <w:left w:val="none" w:sz="0" w:space="0" w:color="auto"/>
                    <w:bottom w:val="none" w:sz="0" w:space="0" w:color="auto"/>
                    <w:right w:val="none" w:sz="0" w:space="0" w:color="auto"/>
                  </w:divBdr>
                  <w:divsChild>
                    <w:div w:id="1651056455">
                      <w:marLeft w:val="0"/>
                      <w:marRight w:val="0"/>
                      <w:marTop w:val="0"/>
                      <w:marBottom w:val="0"/>
                      <w:divBdr>
                        <w:top w:val="none" w:sz="0" w:space="0" w:color="auto"/>
                        <w:left w:val="none" w:sz="0" w:space="0" w:color="auto"/>
                        <w:bottom w:val="none" w:sz="0" w:space="0" w:color="auto"/>
                        <w:right w:val="none" w:sz="0" w:space="0" w:color="auto"/>
                      </w:divBdr>
                      <w:divsChild>
                        <w:div w:id="1641962705">
                          <w:marLeft w:val="0"/>
                          <w:marRight w:val="0"/>
                          <w:marTop w:val="0"/>
                          <w:marBottom w:val="0"/>
                          <w:divBdr>
                            <w:top w:val="none" w:sz="0" w:space="0" w:color="auto"/>
                            <w:left w:val="none" w:sz="0" w:space="0" w:color="auto"/>
                            <w:bottom w:val="none" w:sz="0" w:space="0" w:color="auto"/>
                            <w:right w:val="none" w:sz="0" w:space="0" w:color="auto"/>
                          </w:divBdr>
                          <w:divsChild>
                            <w:div w:id="900553820">
                              <w:marLeft w:val="0"/>
                              <w:marRight w:val="0"/>
                              <w:marTop w:val="0"/>
                              <w:marBottom w:val="0"/>
                              <w:divBdr>
                                <w:top w:val="none" w:sz="0" w:space="0" w:color="auto"/>
                                <w:left w:val="none" w:sz="0" w:space="0" w:color="auto"/>
                                <w:bottom w:val="none" w:sz="0" w:space="0" w:color="auto"/>
                                <w:right w:val="none" w:sz="0" w:space="0" w:color="auto"/>
                              </w:divBdr>
                              <w:divsChild>
                                <w:div w:id="1234124439">
                                  <w:marLeft w:val="0"/>
                                  <w:marRight w:val="0"/>
                                  <w:marTop w:val="0"/>
                                  <w:marBottom w:val="0"/>
                                  <w:divBdr>
                                    <w:top w:val="none" w:sz="0" w:space="0" w:color="auto"/>
                                    <w:left w:val="none" w:sz="0" w:space="0" w:color="auto"/>
                                    <w:bottom w:val="none" w:sz="0" w:space="0" w:color="auto"/>
                                    <w:right w:val="none" w:sz="0" w:space="0" w:color="auto"/>
                                  </w:divBdr>
                                  <w:divsChild>
                                    <w:div w:id="1557163331">
                                      <w:marLeft w:val="0"/>
                                      <w:marRight w:val="0"/>
                                      <w:marTop w:val="0"/>
                                      <w:marBottom w:val="0"/>
                                      <w:divBdr>
                                        <w:top w:val="none" w:sz="0" w:space="0" w:color="auto"/>
                                        <w:left w:val="none" w:sz="0" w:space="0" w:color="auto"/>
                                        <w:bottom w:val="none" w:sz="0" w:space="0" w:color="auto"/>
                                        <w:right w:val="none" w:sz="0" w:space="0" w:color="auto"/>
                                      </w:divBdr>
                                      <w:divsChild>
                                        <w:div w:id="1485659271">
                                          <w:marLeft w:val="0"/>
                                          <w:marRight w:val="0"/>
                                          <w:marTop w:val="0"/>
                                          <w:marBottom w:val="0"/>
                                          <w:divBdr>
                                            <w:top w:val="none" w:sz="0" w:space="0" w:color="auto"/>
                                            <w:left w:val="none" w:sz="0" w:space="0" w:color="auto"/>
                                            <w:bottom w:val="none" w:sz="0" w:space="0" w:color="auto"/>
                                            <w:right w:val="none" w:sz="0" w:space="0" w:color="auto"/>
                                          </w:divBdr>
                                          <w:divsChild>
                                            <w:div w:id="232664339">
                                              <w:marLeft w:val="0"/>
                                              <w:marRight w:val="0"/>
                                              <w:marTop w:val="0"/>
                                              <w:marBottom w:val="0"/>
                                              <w:divBdr>
                                                <w:top w:val="none" w:sz="0" w:space="0" w:color="auto"/>
                                                <w:left w:val="none" w:sz="0" w:space="0" w:color="auto"/>
                                                <w:bottom w:val="none" w:sz="0" w:space="0" w:color="auto"/>
                                                <w:right w:val="none" w:sz="0" w:space="0" w:color="auto"/>
                                              </w:divBdr>
                                              <w:divsChild>
                                                <w:div w:id="2890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591621">
          <w:marLeft w:val="0"/>
          <w:marRight w:val="0"/>
          <w:marTop w:val="0"/>
          <w:marBottom w:val="0"/>
          <w:divBdr>
            <w:top w:val="none" w:sz="0" w:space="0" w:color="auto"/>
            <w:left w:val="none" w:sz="0" w:space="0" w:color="auto"/>
            <w:bottom w:val="none" w:sz="0" w:space="0" w:color="auto"/>
            <w:right w:val="none" w:sz="0" w:space="0" w:color="auto"/>
          </w:divBdr>
          <w:divsChild>
            <w:div w:id="2041585454">
              <w:marLeft w:val="0"/>
              <w:marRight w:val="0"/>
              <w:marTop w:val="0"/>
              <w:marBottom w:val="0"/>
              <w:divBdr>
                <w:top w:val="none" w:sz="0" w:space="0" w:color="auto"/>
                <w:left w:val="none" w:sz="0" w:space="0" w:color="auto"/>
                <w:bottom w:val="none" w:sz="0" w:space="0" w:color="auto"/>
                <w:right w:val="none" w:sz="0" w:space="0" w:color="auto"/>
              </w:divBdr>
              <w:divsChild>
                <w:div w:id="1833059399">
                  <w:marLeft w:val="0"/>
                  <w:marRight w:val="0"/>
                  <w:marTop w:val="0"/>
                  <w:marBottom w:val="0"/>
                  <w:divBdr>
                    <w:top w:val="none" w:sz="0" w:space="0" w:color="auto"/>
                    <w:left w:val="none" w:sz="0" w:space="0" w:color="auto"/>
                    <w:bottom w:val="none" w:sz="0" w:space="0" w:color="auto"/>
                    <w:right w:val="none" w:sz="0" w:space="0" w:color="auto"/>
                  </w:divBdr>
                  <w:divsChild>
                    <w:div w:id="10736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612516253">
      <w:bodyDiv w:val="1"/>
      <w:marLeft w:val="0"/>
      <w:marRight w:val="0"/>
      <w:marTop w:val="0"/>
      <w:marBottom w:val="0"/>
      <w:divBdr>
        <w:top w:val="none" w:sz="0" w:space="0" w:color="auto"/>
        <w:left w:val="none" w:sz="0" w:space="0" w:color="auto"/>
        <w:bottom w:val="none" w:sz="0" w:space="0" w:color="auto"/>
        <w:right w:val="none" w:sz="0" w:space="0" w:color="auto"/>
      </w:divBdr>
    </w:div>
    <w:div w:id="1706713620">
      <w:bodyDiv w:val="1"/>
      <w:marLeft w:val="0"/>
      <w:marRight w:val="0"/>
      <w:marTop w:val="0"/>
      <w:marBottom w:val="0"/>
      <w:divBdr>
        <w:top w:val="none" w:sz="0" w:space="0" w:color="auto"/>
        <w:left w:val="none" w:sz="0" w:space="0" w:color="auto"/>
        <w:bottom w:val="none" w:sz="0" w:space="0" w:color="auto"/>
        <w:right w:val="none" w:sz="0" w:space="0" w:color="auto"/>
      </w:divBdr>
    </w:div>
    <w:div w:id="1754620778">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ibisworld-com.trident.idm.oclc.org/us/en/industry/51821/at-a-glan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state-of-uk-competition-report-2024/the-state-of-uk-competition-report-2024" TargetMode="External"/><Relationship Id="rId12" Type="http://schemas.openxmlformats.org/officeDocument/2006/relationships/hyperlink" Target="https://www.law.ac.uk/resources/blog/the-importance-of-data-privacy-law-in-the-digital-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target.com/whatis/feature/Breaking-down-the-cost-of-cloud-comput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gnitivemarketresearch.com/data-processing-and-hosting-service-market-report?srsltid=AfmBOooKTn0ARsct94lZj_HvZXcCfSF2lVAEjBowwN29JLng_IAK-5sh" TargetMode="External"/><Relationship Id="rId4" Type="http://schemas.openxmlformats.org/officeDocument/2006/relationships/webSettings" Target="webSettings.xml"/><Relationship Id="rId9" Type="http://schemas.openxmlformats.org/officeDocument/2006/relationships/hyperlink" Target="https://cxotoday.com/corner-office/an-outlook-at-emerging-technologies-that-will-reshape-enterprises-in-202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4347</Words>
  <Characters>24783</Characters>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2025-01-28T00:00:00Z</dcterms:created>
  <dcterms:modified xsi:type="dcterms:W3CDTF">2025-02-12T09:07:00Z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2025-02-11T15:52:17Z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e4c17908-c14d-44d8-b8eb-109f609a7e57</vt:lpwstr>
  </property>
  <property fmtid="{D5CDD505-2E9C-101B-9397-08002B2CF9AE}" pid="7" name="MSIP_Label_defa4170-0d19-0005-0004-bc88714345d2_ActionId">
    <vt:lpwstr>5484269a-dbec-4b2d-bbe8-6422102cafff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