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67DCD" w14:textId="77777777" w:rsidR="00F468D1" w:rsidRPr="007E1727" w:rsidRDefault="00F468D1" w:rsidP="00B224B6">
      <w:pPr>
        <w:spacing w:line="480" w:lineRule="auto"/>
        <w:ind w:firstLine="720"/>
        <w:jc w:val="center"/>
        <w:rPr>
          <w:b/>
          <w:bCs/>
        </w:rPr>
      </w:pPr>
    </w:p>
    <w:p w14:paraId="09AA434B" w14:textId="77777777" w:rsidR="00F468D1" w:rsidRPr="007E1727" w:rsidRDefault="00F468D1" w:rsidP="00B224B6">
      <w:pPr>
        <w:spacing w:line="480" w:lineRule="auto"/>
        <w:ind w:firstLine="720"/>
        <w:jc w:val="center"/>
        <w:rPr>
          <w:b/>
          <w:bCs/>
        </w:rPr>
      </w:pPr>
    </w:p>
    <w:p w14:paraId="466FA396" w14:textId="77777777" w:rsidR="00F468D1" w:rsidRPr="007E1727" w:rsidRDefault="00F468D1" w:rsidP="00B224B6">
      <w:pPr>
        <w:spacing w:line="480" w:lineRule="auto"/>
        <w:ind w:firstLine="720"/>
        <w:jc w:val="center"/>
        <w:rPr>
          <w:b/>
          <w:bCs/>
        </w:rPr>
      </w:pPr>
    </w:p>
    <w:p w14:paraId="0D8CF4B9" w14:textId="77777777" w:rsidR="00F468D1" w:rsidRPr="007E1727" w:rsidRDefault="00F468D1" w:rsidP="00B224B6">
      <w:pPr>
        <w:spacing w:line="480" w:lineRule="auto"/>
        <w:ind w:firstLine="720"/>
        <w:jc w:val="center"/>
        <w:rPr>
          <w:b/>
          <w:bCs/>
        </w:rPr>
      </w:pPr>
    </w:p>
    <w:p w14:paraId="253C824D" w14:textId="2CF2906B" w:rsidR="00286395" w:rsidRPr="007E1727" w:rsidRDefault="00ED7EAB" w:rsidP="00F378C4">
      <w:pPr>
        <w:spacing w:line="480" w:lineRule="auto"/>
        <w:jc w:val="center"/>
        <w:rPr>
          <w:b/>
          <w:bCs/>
        </w:rPr>
      </w:pPr>
      <w:r>
        <w:rPr>
          <w:b/>
          <w:bCs/>
        </w:rPr>
        <w:t>BUS50</w:t>
      </w:r>
      <w:r w:rsidR="007E1727" w:rsidRPr="007E1727">
        <w:rPr>
          <w:b/>
          <w:bCs/>
        </w:rPr>
        <w:t>0</w:t>
      </w:r>
      <w:r w:rsidR="003C7F15" w:rsidRPr="007E1727">
        <w:rPr>
          <w:b/>
          <w:bCs/>
        </w:rPr>
        <w:t xml:space="preserve"> </w:t>
      </w:r>
      <w:r w:rsidR="00352229" w:rsidRPr="007E1727">
        <w:rPr>
          <w:b/>
          <w:bCs/>
        </w:rPr>
        <w:t>Case</w:t>
      </w:r>
      <w:r w:rsidR="006624AB" w:rsidRPr="007E1727">
        <w:rPr>
          <w:b/>
          <w:bCs/>
        </w:rPr>
        <w:t xml:space="preserve"> </w:t>
      </w:r>
      <w:r w:rsidR="000B5B9E">
        <w:rPr>
          <w:b/>
          <w:bCs/>
        </w:rPr>
        <w:t>4</w:t>
      </w:r>
    </w:p>
    <w:p w14:paraId="215330E4" w14:textId="77777777" w:rsidR="00286395" w:rsidRPr="007E1727" w:rsidRDefault="00286395" w:rsidP="00B224B6">
      <w:pPr>
        <w:spacing w:line="480" w:lineRule="auto"/>
        <w:ind w:firstLine="720"/>
        <w:jc w:val="center"/>
      </w:pPr>
    </w:p>
    <w:p w14:paraId="0C9670E1" w14:textId="77777777" w:rsidR="00454CAF" w:rsidRPr="007E1727" w:rsidRDefault="00454CAF" w:rsidP="00F378C4">
      <w:pPr>
        <w:spacing w:line="480" w:lineRule="auto"/>
        <w:jc w:val="center"/>
      </w:pPr>
      <w:r w:rsidRPr="007E1727">
        <w:t>Your Name</w:t>
      </w:r>
    </w:p>
    <w:p w14:paraId="02750D95" w14:textId="77777777" w:rsidR="00454CAF" w:rsidRPr="007E1727" w:rsidRDefault="00454CAF" w:rsidP="00F378C4">
      <w:pPr>
        <w:spacing w:line="480" w:lineRule="auto"/>
        <w:jc w:val="center"/>
      </w:pPr>
      <w:r w:rsidRPr="007E1727">
        <w:t xml:space="preserve">Trident University International </w:t>
      </w:r>
    </w:p>
    <w:p w14:paraId="70F9BBF2" w14:textId="70C02BAD" w:rsidR="007E1727" w:rsidRPr="007E1727" w:rsidRDefault="00ED7EAB" w:rsidP="00F378C4">
      <w:pPr>
        <w:spacing w:line="480" w:lineRule="auto"/>
        <w:jc w:val="center"/>
      </w:pPr>
      <w:r>
        <w:t>BUS5</w:t>
      </w:r>
      <w:r w:rsidR="007E1727" w:rsidRPr="007E1727">
        <w:t xml:space="preserve">00 </w:t>
      </w:r>
      <w:r>
        <w:t>Financial Intelligence</w:t>
      </w:r>
    </w:p>
    <w:p w14:paraId="54C389E1" w14:textId="7A086B20" w:rsidR="00844EE7" w:rsidRPr="007E1727" w:rsidRDefault="00454CAF" w:rsidP="00F378C4">
      <w:pPr>
        <w:spacing w:line="480" w:lineRule="auto"/>
        <w:jc w:val="center"/>
      </w:pPr>
      <w:r w:rsidRPr="007E1727">
        <w:t>Due Date</w:t>
      </w:r>
    </w:p>
    <w:p w14:paraId="6C8D5EF8" w14:textId="56D46919" w:rsidR="003C7F15" w:rsidRPr="007E1727" w:rsidRDefault="00352E8D" w:rsidP="003C7F15">
      <w:pPr>
        <w:spacing w:line="480" w:lineRule="auto"/>
        <w:jc w:val="center"/>
        <w:rPr>
          <w:b/>
          <w:bCs/>
        </w:rPr>
      </w:pPr>
      <w:r w:rsidRPr="007E1727">
        <w:br w:type="page"/>
      </w:r>
    </w:p>
    <w:p w14:paraId="16B93B5E" w14:textId="19E8E0B8" w:rsidR="00302BC5" w:rsidRPr="00655943" w:rsidRDefault="00ED7EAB" w:rsidP="00655943">
      <w:pPr>
        <w:spacing w:line="480" w:lineRule="auto"/>
        <w:jc w:val="center"/>
        <w:rPr>
          <w:b/>
          <w:bCs/>
        </w:rPr>
      </w:pPr>
      <w:r>
        <w:rPr>
          <w:b/>
          <w:bCs/>
        </w:rPr>
        <w:lastRenderedPageBreak/>
        <w:t>BUS500</w:t>
      </w:r>
      <w:r w:rsidR="003C7F15" w:rsidRPr="007E1727">
        <w:rPr>
          <w:b/>
          <w:bCs/>
        </w:rPr>
        <w:t xml:space="preserve"> </w:t>
      </w:r>
      <w:r w:rsidR="00352229" w:rsidRPr="007E1727">
        <w:rPr>
          <w:b/>
          <w:bCs/>
        </w:rPr>
        <w:t>Case</w:t>
      </w:r>
      <w:r w:rsidR="006624AB" w:rsidRPr="007E1727">
        <w:rPr>
          <w:b/>
          <w:bCs/>
        </w:rPr>
        <w:t xml:space="preserve"> </w:t>
      </w:r>
      <w:r w:rsidR="000B5B9E">
        <w:rPr>
          <w:b/>
          <w:bCs/>
        </w:rPr>
        <w:t>4</w:t>
      </w:r>
    </w:p>
    <w:p w14:paraId="6D35B020" w14:textId="77777777" w:rsidR="000B5B9E" w:rsidRPr="0071116B" w:rsidRDefault="000B5B9E" w:rsidP="000B5B9E">
      <w:pPr>
        <w:spacing w:line="480" w:lineRule="auto"/>
        <w:jc w:val="center"/>
        <w:rPr>
          <w:b/>
          <w:bCs/>
          <w:color w:val="000000" w:themeColor="text1"/>
        </w:rPr>
      </w:pPr>
      <w:r w:rsidRPr="0071116B">
        <w:rPr>
          <w:b/>
          <w:bCs/>
          <w:color w:val="000000" w:themeColor="text1"/>
        </w:rPr>
        <w:t>Report Compilation</w:t>
      </w:r>
    </w:p>
    <w:p w14:paraId="301B4E80" w14:textId="77777777" w:rsidR="00250AFB" w:rsidRDefault="00EB49EE" w:rsidP="00250AFB">
      <w:pPr>
        <w:spacing w:line="480" w:lineRule="auto"/>
        <w:rPr>
          <w:color w:val="000000" w:themeColor="text1"/>
          <w:lang w:val="en-PK"/>
        </w:rPr>
      </w:pPr>
      <w:r w:rsidRPr="00EB49EE">
        <w:rPr>
          <w:b/>
          <w:bCs/>
          <w:color w:val="000000" w:themeColor="text1"/>
          <w:lang w:val="en-PK"/>
        </w:rPr>
        <w:t>Executive Summary</w:t>
      </w:r>
    </w:p>
    <w:p w14:paraId="44D6DA82" w14:textId="2077C5F9" w:rsidR="00900F9D" w:rsidRDefault="003C1F45" w:rsidP="006C2D30">
      <w:pPr>
        <w:spacing w:line="480" w:lineRule="auto"/>
        <w:ind w:firstLine="720"/>
        <w:rPr>
          <w:color w:val="000000" w:themeColor="text1"/>
          <w:lang w:val="en-PK"/>
        </w:rPr>
      </w:pPr>
      <w:r w:rsidRPr="003C1F45">
        <w:rPr>
          <w:color w:val="000000" w:themeColor="text1"/>
          <w:lang w:val="en-PK"/>
        </w:rPr>
        <w:t xml:space="preserve">With strong liquidity, rising revenue, and solid profitability, GigaCloud Technology Inc. has grown </w:t>
      </w:r>
      <w:r w:rsidR="005523A4" w:rsidRPr="003C1F45">
        <w:rPr>
          <w:color w:val="000000" w:themeColor="text1"/>
          <w:lang w:val="en-PK"/>
        </w:rPr>
        <w:t>significantly,</w:t>
      </w:r>
      <w:r w:rsidR="005523A4">
        <w:rPr>
          <w:color w:val="000000" w:themeColor="text1"/>
          <w:lang w:val="en-PK"/>
        </w:rPr>
        <w:t xml:space="preserve"> and i</w:t>
      </w:r>
      <w:r w:rsidRPr="003C1F45">
        <w:rPr>
          <w:color w:val="000000" w:themeColor="text1"/>
          <w:lang w:val="en-PK"/>
        </w:rPr>
        <w:t>ts total assets rose to $1.07 billion and net income to $94.85 million in the first nine months of 2024. With a 6.26 P/E and 0.73 P/S ratio, the company appears undervalued relative to its earnings</w:t>
      </w:r>
      <w:r w:rsidR="005523A4">
        <w:rPr>
          <w:color w:val="000000" w:themeColor="text1"/>
          <w:lang w:val="en-PK"/>
        </w:rPr>
        <w:t xml:space="preserve"> which makes </w:t>
      </w:r>
      <w:r w:rsidRPr="003C1F45">
        <w:rPr>
          <w:color w:val="000000" w:themeColor="text1"/>
          <w:lang w:val="en-PK"/>
        </w:rPr>
        <w:t>it an attractive investment. GigaCloud relies on third-party logistics and service providers, which poses risks despite its strong performance. Supply chain disruptions, geopolitical risks, and rising liabilities could hurt its business. Its growth may also be threatened by global demand fluctuations and regulatory issues</w:t>
      </w:r>
      <w:r w:rsidR="005523A4">
        <w:rPr>
          <w:color w:val="000000" w:themeColor="text1"/>
          <w:lang w:val="en-PK"/>
        </w:rPr>
        <w:t xml:space="preserve"> and t</w:t>
      </w:r>
      <w:r w:rsidRPr="003C1F45">
        <w:rPr>
          <w:color w:val="000000" w:themeColor="text1"/>
          <w:lang w:val="en-PK"/>
        </w:rPr>
        <w:t>he $291.4 billion U.S. Data Processing &amp; Hosting Services industry is growing steadily due to cloud adoption, AI advancements, and cybersecurity demand. GigaCloud's strategic position in this changing industry suggests growth potential, but risk management is essential for long-term success</w:t>
      </w:r>
      <w:r w:rsidR="00EB49EE" w:rsidRPr="00EB49EE">
        <w:rPr>
          <w:color w:val="000000" w:themeColor="text1"/>
          <w:lang w:val="en-PK"/>
        </w:rPr>
        <w:t>.</w:t>
      </w:r>
    </w:p>
    <w:p w14:paraId="433702C2" w14:textId="13F1F87F" w:rsidR="00900F9D" w:rsidRDefault="00EB49EE" w:rsidP="00900F9D">
      <w:pPr>
        <w:spacing w:line="480" w:lineRule="auto"/>
        <w:rPr>
          <w:color w:val="000000" w:themeColor="text1"/>
          <w:lang w:val="en-PK"/>
        </w:rPr>
      </w:pPr>
      <w:r w:rsidRPr="00EB49EE">
        <w:rPr>
          <w:b/>
          <w:bCs/>
          <w:color w:val="000000" w:themeColor="text1"/>
          <w:lang w:val="en-PK"/>
        </w:rPr>
        <w:t>Introduction</w:t>
      </w:r>
    </w:p>
    <w:p w14:paraId="72A2AD0A" w14:textId="0478030B" w:rsidR="00EB49EE" w:rsidRPr="00EB49EE" w:rsidRDefault="003C1F45" w:rsidP="00EB49EE">
      <w:pPr>
        <w:spacing w:line="480" w:lineRule="auto"/>
        <w:ind w:firstLine="720"/>
        <w:rPr>
          <w:color w:val="000000" w:themeColor="text1"/>
          <w:lang w:val="en-PK"/>
        </w:rPr>
      </w:pPr>
      <w:r w:rsidRPr="003C1F45">
        <w:rPr>
          <w:color w:val="000000" w:themeColor="text1"/>
          <w:lang w:val="en-PK"/>
        </w:rPr>
        <w:t>This report analyses GigaCloud Technology Inc.'s financial performance, risk factors, and competitive position in the U.S. Data Processing &amp; Hosting Services industry</w:t>
      </w:r>
      <w:r w:rsidR="005523A4">
        <w:rPr>
          <w:color w:val="000000" w:themeColor="text1"/>
          <w:lang w:val="en-PK"/>
        </w:rPr>
        <w:t xml:space="preserve"> and this</w:t>
      </w:r>
      <w:r w:rsidRPr="003C1F45">
        <w:rPr>
          <w:color w:val="000000" w:themeColor="text1"/>
          <w:lang w:val="en-PK"/>
        </w:rPr>
        <w:t xml:space="preserve"> report examines GigaCloud's business model's strengths and weaknesses using balance sheet data, income statements, and market research. It also evaluates the company's long-term growth potential and investor appeal in light of current industry trends like technological advances, cybersecurity needs, and regulatory changes.</w:t>
      </w:r>
    </w:p>
    <w:p w14:paraId="7985D852" w14:textId="77777777" w:rsidR="00900F9D" w:rsidRDefault="00EB49EE" w:rsidP="00900F9D">
      <w:pPr>
        <w:spacing w:line="480" w:lineRule="auto"/>
        <w:rPr>
          <w:color w:val="000000" w:themeColor="text1"/>
          <w:lang w:val="en-PK"/>
        </w:rPr>
      </w:pPr>
      <w:r w:rsidRPr="00EB49EE">
        <w:rPr>
          <w:b/>
          <w:bCs/>
          <w:color w:val="000000" w:themeColor="text1"/>
          <w:lang w:val="en-PK"/>
        </w:rPr>
        <w:t>Company Overview</w:t>
      </w:r>
    </w:p>
    <w:p w14:paraId="65D55D8E" w14:textId="537B13D0" w:rsidR="00EB49EE" w:rsidRPr="00EB49EE" w:rsidRDefault="003C1F45" w:rsidP="00EB49EE">
      <w:pPr>
        <w:spacing w:line="480" w:lineRule="auto"/>
        <w:ind w:firstLine="720"/>
        <w:rPr>
          <w:color w:val="000000" w:themeColor="text1"/>
          <w:lang w:val="en-PK"/>
        </w:rPr>
      </w:pPr>
      <w:r w:rsidRPr="003C1F45">
        <w:rPr>
          <w:color w:val="000000" w:themeColor="text1"/>
          <w:lang w:val="en-PK"/>
        </w:rPr>
        <w:lastRenderedPageBreak/>
        <w:t>The leader in cloud computing and digital infrastructure solutions is GigaCloud Technology Inc. The company offers data management, cybersecurity, and enterprise software solutions to enterprise and consumer markets in addition to cloud storage. GigaCloud invests in R&amp;D to improve its technology to focus on innovation and efficiency. This proactive approach helps the company adapt quickly to market changes and stay competitive. GigaCloud's operational strategy has focused on liquidity and asset growth, according to its Form 10-Q (SEC Commission, 2024). These financial indicators demonstrate the company's commitment to market leadership through technology and service quality investments</w:t>
      </w:r>
      <w:r w:rsidR="00EB49EE" w:rsidRPr="00EB49EE">
        <w:rPr>
          <w:color w:val="000000" w:themeColor="text1"/>
          <w:lang w:val="en-PK"/>
        </w:rPr>
        <w:t>.</w:t>
      </w:r>
    </w:p>
    <w:p w14:paraId="0251C950" w14:textId="77777777" w:rsidR="00900F9D" w:rsidRDefault="00EB49EE" w:rsidP="00900F9D">
      <w:pPr>
        <w:spacing w:line="480" w:lineRule="auto"/>
        <w:rPr>
          <w:color w:val="000000" w:themeColor="text1"/>
          <w:lang w:val="en-PK"/>
        </w:rPr>
      </w:pPr>
      <w:r w:rsidRPr="00EB49EE">
        <w:rPr>
          <w:b/>
          <w:bCs/>
          <w:color w:val="000000" w:themeColor="text1"/>
          <w:lang w:val="en-PK"/>
        </w:rPr>
        <w:t>Financial Analysis</w:t>
      </w:r>
    </w:p>
    <w:p w14:paraId="16FAEA4C" w14:textId="77777777" w:rsidR="003C1F45" w:rsidRPr="003C1F45" w:rsidRDefault="003C1F45" w:rsidP="003C1F45">
      <w:pPr>
        <w:spacing w:line="480" w:lineRule="auto"/>
        <w:ind w:firstLine="720"/>
        <w:rPr>
          <w:color w:val="000000" w:themeColor="text1"/>
          <w:lang w:val="en-PK"/>
        </w:rPr>
      </w:pPr>
      <w:r w:rsidRPr="003C1F45">
        <w:rPr>
          <w:color w:val="000000" w:themeColor="text1"/>
          <w:lang w:val="en-PK"/>
        </w:rPr>
        <w:t>Financial statements from GigaCloud Technology Inc. show consistent growth and operational strength. The company's cash and cash equivalents increased from $183.28 million (December 31, 2023) to $217.58 million on September 30, 2024, providing sufficient liquidity to meet short-term obligations. Current assets rose from $392.81 million to $527.72 million, and total assets rose from $846.91 million to $1,073.34 million. Strategic investments and financial strength are behind this asset growth (SEC Commission, 2024).</w:t>
      </w:r>
    </w:p>
    <w:p w14:paraId="32FB2227" w14:textId="77777777" w:rsidR="003C1F45" w:rsidRPr="003C1F45" w:rsidRDefault="003C1F45" w:rsidP="003C1F45">
      <w:pPr>
        <w:spacing w:line="480" w:lineRule="auto"/>
        <w:ind w:firstLine="720"/>
        <w:rPr>
          <w:color w:val="000000" w:themeColor="text1"/>
          <w:lang w:val="en-PK"/>
        </w:rPr>
      </w:pPr>
      <w:r w:rsidRPr="003C1F45">
        <w:rPr>
          <w:color w:val="000000" w:themeColor="text1"/>
          <w:lang w:val="en-PK"/>
        </w:rPr>
        <w:t>The income statement shows GigaCloud's strong finances. In the third quarter, net revenues rose from $178.17 million to $303.32 million and gross profit from $48.86 million to $77.25 million. Despite rising total operating expenses due to marketing, R&amp;D, and expansion, net income rose from $24.20 million to $40.69 million in Q3 and from $58.53 million to $94.85 million over the first nine months. An 11.75% net margin, 40.32% ROE, and 13.94% ROA indicate that GigaCloud is efficiently converting revenue into profit and managing operational expenditures (SEC Commission, 2024; MarketBeat, 2025).</w:t>
      </w:r>
    </w:p>
    <w:p w14:paraId="6D75B855" w14:textId="740A5436" w:rsidR="00EB49EE" w:rsidRPr="00EB49EE" w:rsidRDefault="003C1F45" w:rsidP="003C1F45">
      <w:pPr>
        <w:spacing w:line="480" w:lineRule="auto"/>
        <w:ind w:firstLine="720"/>
        <w:rPr>
          <w:color w:val="000000" w:themeColor="text1"/>
          <w:lang w:val="en-PK"/>
        </w:rPr>
      </w:pPr>
      <w:r w:rsidRPr="003C1F45">
        <w:rPr>
          <w:color w:val="000000" w:themeColor="text1"/>
          <w:lang w:val="en-PK"/>
        </w:rPr>
        <w:lastRenderedPageBreak/>
        <w:t>Valuation metrics boost GigaCloud stock's appeal. The company appears undervalued based on its P/E ratio of 6.26 and P/S ratio of 0.73. Compare this low valuation to peer companies, and GigaCloud may be a cheaper entry point for investors seeking exposure to a high-growth, technologically innovative sector</w:t>
      </w:r>
      <w:r w:rsidR="00EB49EE" w:rsidRPr="00EB49EE">
        <w:rPr>
          <w:color w:val="000000" w:themeColor="text1"/>
          <w:lang w:val="en-PK"/>
        </w:rPr>
        <w:t>.</w:t>
      </w:r>
    </w:p>
    <w:p w14:paraId="182A9C07" w14:textId="77777777" w:rsidR="00900F9D" w:rsidRDefault="00EB49EE" w:rsidP="00900F9D">
      <w:pPr>
        <w:spacing w:line="480" w:lineRule="auto"/>
        <w:rPr>
          <w:color w:val="000000" w:themeColor="text1"/>
          <w:lang w:val="en-PK"/>
        </w:rPr>
      </w:pPr>
      <w:r w:rsidRPr="00EB49EE">
        <w:rPr>
          <w:b/>
          <w:bCs/>
          <w:color w:val="000000" w:themeColor="text1"/>
          <w:lang w:val="en-PK"/>
        </w:rPr>
        <w:t>Risk Factors</w:t>
      </w:r>
    </w:p>
    <w:p w14:paraId="33621F02" w14:textId="77777777" w:rsidR="003C1F45" w:rsidRPr="003C1F45" w:rsidRDefault="003C1F45" w:rsidP="003C1F45">
      <w:pPr>
        <w:spacing w:line="480" w:lineRule="auto"/>
        <w:ind w:firstLine="720"/>
        <w:rPr>
          <w:color w:val="000000" w:themeColor="text1"/>
          <w:lang w:val="en-PK"/>
        </w:rPr>
      </w:pPr>
      <w:r w:rsidRPr="003C1F45">
        <w:rPr>
          <w:color w:val="000000" w:themeColor="text1"/>
          <w:lang w:val="en-PK"/>
        </w:rPr>
        <w:t>GigaCloud Technology Inc. must consider several risk factors despite its strong financial performance and promising growth trajectory. The company relies on third-party logistics for transportation and freight, which is a concern. GigaCloud is vulnerable to weather delays, natural disasters, technological failures, and geopolitical tensions due to its dependence. Disruptions can increase shipping costs and operational delays, hurting sales and customer trust.</w:t>
      </w:r>
    </w:p>
    <w:p w14:paraId="564C6F56" w14:textId="77777777" w:rsidR="003C1F45" w:rsidRPr="003C1F45" w:rsidRDefault="003C1F45" w:rsidP="003C1F45">
      <w:pPr>
        <w:spacing w:line="480" w:lineRule="auto"/>
        <w:ind w:firstLine="720"/>
        <w:rPr>
          <w:color w:val="000000" w:themeColor="text1"/>
          <w:lang w:val="en-PK"/>
        </w:rPr>
      </w:pPr>
      <w:r w:rsidRPr="003C1F45">
        <w:rPr>
          <w:color w:val="000000" w:themeColor="text1"/>
          <w:lang w:val="en-PK"/>
        </w:rPr>
        <w:t>GigaCloud uses third-party providers for telecommunications, customs, shipping, and assembly, in addition to transportation risks. Any service disruption or contractual dispute with these providers could delay operations or increase financial liabilities, reducing company efficiency. The rise in current and non-current liabilities—from $556.49 million to $672.96 million—indicates that the company is investing in growth but also taking on more debt that must be managed to avoid financial strain (SEC Commission, 2024).</w:t>
      </w:r>
    </w:p>
    <w:p w14:paraId="7FEC64AF" w14:textId="049BB30D" w:rsidR="00EB49EE" w:rsidRPr="00EB49EE" w:rsidRDefault="003C1F45" w:rsidP="003C1F45">
      <w:pPr>
        <w:spacing w:line="480" w:lineRule="auto"/>
        <w:ind w:firstLine="720"/>
        <w:rPr>
          <w:color w:val="000000" w:themeColor="text1"/>
          <w:lang w:val="en-PK"/>
        </w:rPr>
      </w:pPr>
      <w:r w:rsidRPr="003C1F45">
        <w:rPr>
          <w:color w:val="000000" w:themeColor="text1"/>
          <w:lang w:val="en-PK"/>
        </w:rPr>
        <w:t>External reports warn of more risks. Seeking Alpha reported on potential tariffs, slowing global demand, and rising freight rates on January 9, 2025. Despite a strong 70% year-over-year revenue growth in Q3, external economic factors have slowed momentum, leading to stock downgrades. These findings emphasise the importance of proactive risk management, especially as external economic and geopolitical uncertainties evolve</w:t>
      </w:r>
      <w:r w:rsidR="00EB49EE" w:rsidRPr="00EB49EE">
        <w:rPr>
          <w:color w:val="000000" w:themeColor="text1"/>
          <w:lang w:val="en-PK"/>
        </w:rPr>
        <w:t>.</w:t>
      </w:r>
    </w:p>
    <w:p w14:paraId="47DE6BFC" w14:textId="77777777" w:rsidR="00900F9D" w:rsidRDefault="00EB49EE" w:rsidP="00900F9D">
      <w:pPr>
        <w:spacing w:line="480" w:lineRule="auto"/>
        <w:rPr>
          <w:color w:val="000000" w:themeColor="text1"/>
          <w:lang w:val="en-PK"/>
        </w:rPr>
      </w:pPr>
      <w:r w:rsidRPr="00EB49EE">
        <w:rPr>
          <w:b/>
          <w:bCs/>
          <w:color w:val="000000" w:themeColor="text1"/>
          <w:lang w:val="en-PK"/>
        </w:rPr>
        <w:t>Industry Analysis</w:t>
      </w:r>
    </w:p>
    <w:p w14:paraId="24B5C7B9" w14:textId="77777777" w:rsidR="003C1F45" w:rsidRPr="003C1F45" w:rsidRDefault="003C1F45" w:rsidP="003C1F45">
      <w:pPr>
        <w:spacing w:line="480" w:lineRule="auto"/>
        <w:ind w:firstLine="720"/>
        <w:rPr>
          <w:color w:val="000000" w:themeColor="text1"/>
          <w:lang w:val="en-PK"/>
        </w:rPr>
      </w:pPr>
      <w:r w:rsidRPr="003C1F45">
        <w:rPr>
          <w:color w:val="000000" w:themeColor="text1"/>
          <w:lang w:val="en-PK"/>
        </w:rPr>
        <w:lastRenderedPageBreak/>
        <w:t>The digital economy relies on the U.S. Data Processing &amp; Hosting Services industry (NAICS 51821) for application hosting, data processing, and cloud solutions. The industry was worth $291.4 billion in 2024, growing 5.4% annually since 2019. This growth is driven by widespread cloud adoption, AI advancements, and cybersecurity efforts. The industry supports finance, healthcare, and e-commerce, making it vital to the economy (MarketBeat, 2025).</w:t>
      </w:r>
    </w:p>
    <w:p w14:paraId="6CBBBC67" w14:textId="77777777" w:rsidR="003C1F45" w:rsidRPr="003C1F45" w:rsidRDefault="003C1F45" w:rsidP="003C1F45">
      <w:pPr>
        <w:spacing w:line="480" w:lineRule="auto"/>
        <w:ind w:firstLine="720"/>
        <w:rPr>
          <w:color w:val="000000" w:themeColor="text1"/>
          <w:lang w:val="en-PK"/>
        </w:rPr>
      </w:pPr>
      <w:r w:rsidRPr="003C1F45">
        <w:rPr>
          <w:color w:val="000000" w:themeColor="text1"/>
          <w:lang w:val="en-PK"/>
        </w:rPr>
        <w:t>Web hosting brings in $103.7 billion, application services $58.6 billion, and business process management $55.7 billion. The industry is expected to grow moderately at a CAGR of 3.1% through 2029 as companies migrate to the cloud. However, edge computing and the IoT are expected to boost growth to 10.5% CAGR by 2030 (MarketBeat, 2025).</w:t>
      </w:r>
    </w:p>
    <w:p w14:paraId="2F8FC296" w14:textId="65B90776" w:rsidR="00EB49EE" w:rsidRPr="00EB49EE" w:rsidRDefault="003C1F45" w:rsidP="003C1F45">
      <w:pPr>
        <w:spacing w:line="480" w:lineRule="auto"/>
        <w:ind w:firstLine="720"/>
        <w:rPr>
          <w:color w:val="000000" w:themeColor="text1"/>
          <w:lang w:val="en-PK"/>
        </w:rPr>
      </w:pPr>
      <w:r w:rsidRPr="003C1F45">
        <w:rPr>
          <w:color w:val="000000" w:themeColor="text1"/>
          <w:lang w:val="en-PK"/>
        </w:rPr>
        <w:t>Big companies like AWS, Salesforce, and IBM dominate this industry with their scale and advanced technology. The market is competitive despite data centre construction's capital intensity and regulatory compliance requirements (e.g., GDPR and CCPA). AI-driven automation and blockchain-based cybersecurity are changing industry dynamics and creating opportunities for innovative companies.</w:t>
      </w:r>
    </w:p>
    <w:p w14:paraId="1DA7AF69" w14:textId="77777777" w:rsidR="00900F9D" w:rsidRDefault="00EB49EE" w:rsidP="00900F9D">
      <w:pPr>
        <w:spacing w:line="480" w:lineRule="auto"/>
        <w:rPr>
          <w:color w:val="000000" w:themeColor="text1"/>
          <w:lang w:val="en-PK"/>
        </w:rPr>
      </w:pPr>
      <w:r w:rsidRPr="00EB49EE">
        <w:rPr>
          <w:b/>
          <w:bCs/>
          <w:color w:val="000000" w:themeColor="text1"/>
          <w:lang w:val="en-PK"/>
        </w:rPr>
        <w:t>Comparative Analysis and Investment Potential</w:t>
      </w:r>
    </w:p>
    <w:p w14:paraId="574FD6C6" w14:textId="77777777" w:rsidR="003C1F45" w:rsidRPr="003C1F45" w:rsidRDefault="003C1F45" w:rsidP="003C1F45">
      <w:pPr>
        <w:spacing w:line="480" w:lineRule="auto"/>
        <w:ind w:firstLine="720"/>
        <w:rPr>
          <w:color w:val="000000" w:themeColor="text1"/>
          <w:lang w:val="en-PK"/>
        </w:rPr>
      </w:pPr>
      <w:r w:rsidRPr="003C1F45">
        <w:rPr>
          <w:color w:val="000000" w:themeColor="text1"/>
          <w:lang w:val="en-PK"/>
        </w:rPr>
        <w:t>GigaCloud Technology Inc. outperforms related companies in financial performance and valuation. A detailed comparison shows significant differences in profitability, asset utilisation, and market risk. GigaCloud outperforms Victoria's Secret &amp; Co. (2.47%, 44.74%, and 4.42%), Revolve Group (3.72%, 10.17%, 6.29%), and Camping World (negative margins and returns). These metrics show that GigaCloud is using its assets more efficiently and making more money (MarketBeat, 2025).</w:t>
      </w:r>
    </w:p>
    <w:p w14:paraId="2CEF541B" w14:textId="77777777" w:rsidR="003C1F45" w:rsidRPr="003C1F45" w:rsidRDefault="003C1F45" w:rsidP="003C1F45">
      <w:pPr>
        <w:spacing w:line="480" w:lineRule="auto"/>
        <w:ind w:firstLine="720"/>
        <w:rPr>
          <w:color w:val="000000" w:themeColor="text1"/>
          <w:lang w:val="en-PK"/>
        </w:rPr>
      </w:pPr>
      <w:r w:rsidRPr="003C1F45">
        <w:rPr>
          <w:color w:val="000000" w:themeColor="text1"/>
          <w:lang w:val="en-PK"/>
        </w:rPr>
        <w:t xml:space="preserve">Valuation ratios boost GigaCloud's appeal. The company's 6.26 price/earnings ratio and 0.73 price/sales ratio indicate an undervalued stock. Competitors like Revolve Group have higher </w:t>
      </w:r>
      <w:r w:rsidRPr="003C1F45">
        <w:rPr>
          <w:color w:val="000000" w:themeColor="text1"/>
          <w:lang w:val="en-PK"/>
        </w:rPr>
        <w:lastRenderedPageBreak/>
        <w:t>valuation multiples—Revolve's P/E ratio is 53.00, indicating investors are paying more for its earnings. High multiples may indicate overvaluation or unrealistic market expectations. GigaCloud's lower valuation metrics make it a better entry point for investors seeking growth with lower market risk.</w:t>
      </w:r>
    </w:p>
    <w:p w14:paraId="747A520B" w14:textId="77777777" w:rsidR="003C1F45" w:rsidRPr="003C1F45" w:rsidRDefault="003C1F45" w:rsidP="003C1F45">
      <w:pPr>
        <w:spacing w:line="480" w:lineRule="auto"/>
        <w:ind w:firstLine="720"/>
        <w:rPr>
          <w:color w:val="000000" w:themeColor="text1"/>
          <w:lang w:val="en-PK"/>
        </w:rPr>
      </w:pPr>
      <w:r w:rsidRPr="003C1F45">
        <w:rPr>
          <w:color w:val="000000" w:themeColor="text1"/>
          <w:lang w:val="en-PK"/>
        </w:rPr>
        <w:t>Beta risk supports GigaCloud's stability. The company is more volatile than the S&amp;P 500 but less sensitive to market fluctuations, according to its beta of 1.94. Victoria's Secret &amp; Co., Revolve Group, and Camping World have betas of 2.11, 2.17, and 2.49, respectively, indicating higher volatility and risk. GigaCloud's lower relative volatility, strong profitability, and attractive valuation make it a safe but promising investment in a fast-changing, competitive sector.</w:t>
      </w:r>
    </w:p>
    <w:p w14:paraId="176B5710" w14:textId="0A26C2BB" w:rsidR="00EB49EE" w:rsidRPr="00EB49EE" w:rsidRDefault="003C1F45" w:rsidP="003C1F45">
      <w:pPr>
        <w:spacing w:line="480" w:lineRule="auto"/>
        <w:ind w:firstLine="720"/>
        <w:rPr>
          <w:color w:val="000000" w:themeColor="text1"/>
          <w:lang w:val="en-PK"/>
        </w:rPr>
      </w:pPr>
      <w:r w:rsidRPr="003C1F45">
        <w:rPr>
          <w:color w:val="000000" w:themeColor="text1"/>
          <w:lang w:val="en-PK"/>
        </w:rPr>
        <w:t>Analyst recommendations support GigaCloud Technology Inc.'s investment potential. A consensus rating of 3.25 and an average price target of $51.33 indicate financial experts' optimism about the company's near- and medium-term prospects. Institutional backing and recent performance indicators suggest that GigaCloud is well-positioned to capitalise on cloud computing and digital infrastructure opportunities (MarketBeat, 2025; American Banking News, 2025).</w:t>
      </w:r>
    </w:p>
    <w:p w14:paraId="55BF8CA0" w14:textId="77777777" w:rsidR="00900F9D" w:rsidRDefault="00EB49EE" w:rsidP="00900F9D">
      <w:pPr>
        <w:spacing w:line="480" w:lineRule="auto"/>
        <w:rPr>
          <w:color w:val="000000" w:themeColor="text1"/>
          <w:lang w:val="en-PK"/>
        </w:rPr>
      </w:pPr>
      <w:r w:rsidRPr="00EB49EE">
        <w:rPr>
          <w:b/>
          <w:bCs/>
          <w:color w:val="000000" w:themeColor="text1"/>
          <w:lang w:val="en-PK"/>
        </w:rPr>
        <w:t>Conclusion</w:t>
      </w:r>
    </w:p>
    <w:p w14:paraId="461ECE4C" w14:textId="094572B7" w:rsidR="000B5B9E" w:rsidRPr="00EB49EE" w:rsidRDefault="003C1F45" w:rsidP="00900F9D">
      <w:pPr>
        <w:spacing w:line="480" w:lineRule="auto"/>
        <w:ind w:firstLine="720"/>
        <w:rPr>
          <w:color w:val="000000" w:themeColor="text1"/>
          <w:lang w:val="en-PK"/>
        </w:rPr>
      </w:pPr>
      <w:r w:rsidRPr="003C1F45">
        <w:rPr>
          <w:color w:val="000000" w:themeColor="text1"/>
          <w:lang w:val="en-PK"/>
        </w:rPr>
        <w:t xml:space="preserve">GigaCloud Technology Inc. excels in the competitive U.S. Data Processing &amp; Hosting Services industry with strong financial performance, strategic innovation, and prudent risk management. Due to its effective operational strategy and targeted investments, liquidity, assets, and net income have increased significantly. Compared to higher-risk, higher-valuation industry peers, its profitability ratios and valuation metrics suggest a good investment. Due to its strong financial fundamentals, positive industry trends, and strong analyst sentiment, GigaCloud is an attractive option for investors seeking long-term growth and stability. Supply chain dependence </w:t>
      </w:r>
      <w:r w:rsidRPr="003C1F45">
        <w:rPr>
          <w:color w:val="000000" w:themeColor="text1"/>
          <w:lang w:val="en-PK"/>
        </w:rPr>
        <w:lastRenderedPageBreak/>
        <w:t>and external economic pressures remain challenges. In conclusion, innovation and strategic financial management will help GigaCloud Technology Inc. stay competitive. Investors considering data processing and cloud computing should weigh the company's strong operational performance and favourable market valuation against moderate risk. Over the coming years, GigaCloud's integrated growth and risk mitigation strategy will likely continue to generate shareholder value as technology and market dynamics change</w:t>
      </w:r>
      <w:r w:rsidR="00EB49EE" w:rsidRPr="00EB49EE">
        <w:rPr>
          <w:color w:val="000000" w:themeColor="text1"/>
          <w:lang w:val="en-PK"/>
        </w:rPr>
        <w:t>.</w:t>
      </w:r>
    </w:p>
    <w:tbl>
      <w:tblPr>
        <w:tblStyle w:val="TableGrid"/>
        <w:tblW w:w="9738" w:type="dxa"/>
        <w:tblLook w:val="04A0" w:firstRow="1" w:lastRow="0" w:firstColumn="1" w:lastColumn="0" w:noHBand="0" w:noVBand="1"/>
      </w:tblPr>
      <w:tblGrid>
        <w:gridCol w:w="1795"/>
        <w:gridCol w:w="7943"/>
      </w:tblGrid>
      <w:tr w:rsidR="000B5B9E" w:rsidRPr="0071116B" w14:paraId="1D26BCA1" w14:textId="77777777" w:rsidTr="005D7A94">
        <w:tc>
          <w:tcPr>
            <w:tcW w:w="1795" w:type="dxa"/>
          </w:tcPr>
          <w:p w14:paraId="26DD1D6A" w14:textId="77777777" w:rsidR="000B5B9E" w:rsidRPr="0071116B" w:rsidRDefault="000B5B9E" w:rsidP="005D7A94">
            <w:pPr>
              <w:rPr>
                <w:b/>
                <w:color w:val="000000"/>
              </w:rPr>
            </w:pPr>
            <w:r w:rsidRPr="0071116B">
              <w:rPr>
                <w:rFonts w:eastAsia="Calibri"/>
                <w:b/>
                <w:bCs/>
                <w:lang w:eastAsia="zh-CN"/>
              </w:rPr>
              <w:t>Video Presentation</w:t>
            </w:r>
            <w:r>
              <w:rPr>
                <w:rFonts w:eastAsia="Calibri"/>
                <w:b/>
                <w:bCs/>
                <w:lang w:eastAsia="zh-CN"/>
              </w:rPr>
              <w:t xml:space="preserve"> </w:t>
            </w:r>
            <w:r w:rsidRPr="0071116B">
              <w:rPr>
                <w:b/>
                <w:color w:val="000000"/>
              </w:rPr>
              <w:t xml:space="preserve">Link </w:t>
            </w:r>
          </w:p>
        </w:tc>
        <w:tc>
          <w:tcPr>
            <w:tcW w:w="7943" w:type="dxa"/>
          </w:tcPr>
          <w:p w14:paraId="0BBE4341" w14:textId="77777777" w:rsidR="000B5B9E" w:rsidRPr="0071116B" w:rsidRDefault="000B5B9E" w:rsidP="005D7A94">
            <w:pPr>
              <w:rPr>
                <w:bCs/>
                <w:color w:val="000000"/>
              </w:rPr>
            </w:pPr>
          </w:p>
        </w:tc>
      </w:tr>
      <w:tr w:rsidR="000B5B9E" w:rsidRPr="0071116B" w14:paraId="2F1458AA" w14:textId="77777777" w:rsidTr="005D7A94">
        <w:tc>
          <w:tcPr>
            <w:tcW w:w="9738" w:type="dxa"/>
            <w:gridSpan w:val="2"/>
          </w:tcPr>
          <w:p w14:paraId="721F1FD0" w14:textId="77777777" w:rsidR="000B5B9E" w:rsidRPr="0071116B" w:rsidRDefault="000B5B9E" w:rsidP="005D7A94">
            <w:pPr>
              <w:jc w:val="center"/>
              <w:rPr>
                <w:bCs/>
                <w:color w:val="000000"/>
              </w:rPr>
            </w:pPr>
            <w:r w:rsidRPr="0071116B">
              <w:t xml:space="preserve">Video Files may be uploaded to YouTube and the link shared.  Set as public or unlisted, </w:t>
            </w:r>
            <w:r w:rsidRPr="0071116B">
              <w:rPr>
                <w:b/>
                <w:color w:val="FF0000"/>
              </w:rPr>
              <w:t>NOT PRIVATE</w:t>
            </w:r>
            <w:r w:rsidRPr="0071116B">
              <w:t xml:space="preserve">. </w:t>
            </w:r>
            <w:r w:rsidRPr="0071116B">
              <w:rPr>
                <w:i/>
              </w:rPr>
              <w:t xml:space="preserve">Unlisted means your video will not come up in search results.  </w:t>
            </w:r>
          </w:p>
        </w:tc>
      </w:tr>
    </w:tbl>
    <w:p w14:paraId="2AE1FADC" w14:textId="77777777" w:rsidR="000B5B9E" w:rsidRDefault="000B5B9E" w:rsidP="003F62B7">
      <w:pPr>
        <w:tabs>
          <w:tab w:val="left" w:pos="360"/>
        </w:tabs>
        <w:overflowPunct w:val="0"/>
        <w:autoSpaceDE w:val="0"/>
        <w:autoSpaceDN w:val="0"/>
        <w:adjustRightInd w:val="0"/>
        <w:spacing w:line="480" w:lineRule="auto"/>
        <w:ind w:left="-360"/>
        <w:jc w:val="center"/>
        <w:textAlignment w:val="baseline"/>
        <w:rPr>
          <w:b/>
          <w:color w:val="000000"/>
        </w:rPr>
      </w:pPr>
      <w:r>
        <w:rPr>
          <w:b/>
          <w:color w:val="000000"/>
        </w:rPr>
        <w:br w:type="page"/>
      </w:r>
    </w:p>
    <w:p w14:paraId="5FC249A1" w14:textId="7FD509B2" w:rsidR="000455F6" w:rsidRPr="007E1727" w:rsidRDefault="000455F6" w:rsidP="003F62B7">
      <w:pPr>
        <w:tabs>
          <w:tab w:val="left" w:pos="360"/>
        </w:tabs>
        <w:overflowPunct w:val="0"/>
        <w:autoSpaceDE w:val="0"/>
        <w:autoSpaceDN w:val="0"/>
        <w:adjustRightInd w:val="0"/>
        <w:spacing w:line="480" w:lineRule="auto"/>
        <w:ind w:left="-360"/>
        <w:jc w:val="center"/>
        <w:textAlignment w:val="baseline"/>
        <w:rPr>
          <w:color w:val="000000"/>
          <w:highlight w:val="yellow"/>
        </w:rPr>
      </w:pPr>
      <w:r w:rsidRPr="007E1727">
        <w:rPr>
          <w:b/>
          <w:color w:val="000000"/>
        </w:rPr>
        <w:lastRenderedPageBreak/>
        <w:t>References</w:t>
      </w:r>
    </w:p>
    <w:p w14:paraId="6A4891AA" w14:textId="77777777" w:rsidR="002870F6" w:rsidRPr="00EE59EB" w:rsidRDefault="002870F6" w:rsidP="002870F6">
      <w:pPr>
        <w:pStyle w:val="EndNoteBibliography"/>
        <w:ind w:left="720" w:hanging="720"/>
        <w:jc w:val="left"/>
      </w:pPr>
      <w:r w:rsidRPr="00EE59EB">
        <w:t xml:space="preserve">ABMN. (2025). </w:t>
      </w:r>
      <w:r w:rsidRPr="00EE59EB">
        <w:rPr>
          <w:i/>
        </w:rPr>
        <w:t>Q1 EPS Estimates for VSCO Lifted by Telsey Advisory Group</w:t>
      </w:r>
      <w:r w:rsidRPr="00EE59EB">
        <w:t xml:space="preserve">. Retrieved 11th February from </w:t>
      </w:r>
      <w:hyperlink r:id="rId7" w:history="1">
        <w:r w:rsidRPr="00EE59EB">
          <w:rPr>
            <w:rStyle w:val="Hyperlink"/>
          </w:rPr>
          <w:t>https://www.americanbankingnews.com/2025/02/04/q1-eps-estimates-for-vsco-lifted-by-telsey-advisory-group.html</w:t>
        </w:r>
      </w:hyperlink>
    </w:p>
    <w:p w14:paraId="68D91005" w14:textId="61E96B64" w:rsidR="002870F6" w:rsidRDefault="002870F6" w:rsidP="002870F6">
      <w:pPr>
        <w:pStyle w:val="EndNoteBibliography"/>
        <w:ind w:left="720" w:hanging="720"/>
        <w:jc w:val="left"/>
      </w:pPr>
      <w:r w:rsidRPr="00EE59EB">
        <w:t xml:space="preserve">American Banking News. (2025). </w:t>
      </w:r>
      <w:r w:rsidRPr="00EE59EB">
        <w:rPr>
          <w:i/>
        </w:rPr>
        <w:t>GigaCloud Technology (NASDAQ:GCT) and RDE (NASDAQ:GIFT) Head to Head Analysis</w:t>
      </w:r>
      <w:r w:rsidRPr="00EE59EB">
        <w:t xml:space="preserve">. Retrieved 11th February from </w:t>
      </w:r>
      <w:hyperlink r:id="rId8" w:history="1">
        <w:r w:rsidRPr="00EE59EB">
          <w:rPr>
            <w:rStyle w:val="Hyperlink"/>
          </w:rPr>
          <w:t>https://www.americanbankingnews.com/2025/02/07/gigacloud-technology-nasdaqgct-and-rde-nasdaqgift-head-to-head-analysis.html</w:t>
        </w:r>
      </w:hyperlink>
    </w:p>
    <w:p w14:paraId="0BFCF7C1" w14:textId="76D1C755" w:rsidR="002870F6" w:rsidRPr="00017840" w:rsidRDefault="002870F6" w:rsidP="002870F6">
      <w:pPr>
        <w:pStyle w:val="EndNoteBibliography"/>
        <w:ind w:left="720" w:hanging="720"/>
        <w:jc w:val="left"/>
      </w:pPr>
      <w:r w:rsidRPr="00017840">
        <w:t xml:space="preserve">CMA. (2024). </w:t>
      </w:r>
      <w:r w:rsidRPr="00017840">
        <w:rPr>
          <w:i/>
        </w:rPr>
        <w:t>The State of UK Competition Report 2024</w:t>
      </w:r>
      <w:r w:rsidRPr="00017840">
        <w:t xml:space="preserve">. Retrieved 12th February from </w:t>
      </w:r>
      <w:hyperlink r:id="rId9" w:history="1">
        <w:r w:rsidRPr="00017840">
          <w:rPr>
            <w:rStyle w:val="Hyperlink"/>
          </w:rPr>
          <w:t>https://www.gov.uk/government/publications/the-state-of-uk-competition-report-2024/the-state-of-uk-competition-report-2024</w:t>
        </w:r>
      </w:hyperlink>
    </w:p>
    <w:p w14:paraId="02B96A67" w14:textId="77777777" w:rsidR="002870F6" w:rsidRPr="00017840" w:rsidRDefault="002870F6" w:rsidP="002870F6">
      <w:pPr>
        <w:pStyle w:val="EndNoteBibliography"/>
        <w:ind w:left="720" w:hanging="720"/>
        <w:jc w:val="left"/>
      </w:pPr>
      <w:r w:rsidRPr="00017840">
        <w:t xml:space="preserve">Curtis, W. (2024). </w:t>
      </w:r>
      <w:r w:rsidRPr="00017840">
        <w:rPr>
          <w:i/>
        </w:rPr>
        <w:t>Data Processing &amp; Hosting Services in the US</w:t>
      </w:r>
      <w:r w:rsidRPr="00017840">
        <w:t xml:space="preserve">. IBISWorld. </w:t>
      </w:r>
      <w:hyperlink r:id="rId10" w:history="1">
        <w:r w:rsidRPr="00017840">
          <w:rPr>
            <w:rStyle w:val="Hyperlink"/>
          </w:rPr>
          <w:t>https://my-ibisworld-com.trident.idm.oclc.org/us/en/industry/51821/at-a-glance</w:t>
        </w:r>
      </w:hyperlink>
    </w:p>
    <w:p w14:paraId="1E33A93E" w14:textId="77777777" w:rsidR="002870F6" w:rsidRPr="00017840" w:rsidRDefault="002870F6" w:rsidP="002870F6">
      <w:pPr>
        <w:pStyle w:val="EndNoteBibliography"/>
        <w:ind w:left="720" w:hanging="720"/>
        <w:jc w:val="left"/>
      </w:pPr>
      <w:r w:rsidRPr="00017840">
        <w:t xml:space="preserve">CXO. (2024). </w:t>
      </w:r>
      <w:r w:rsidRPr="00017840">
        <w:rPr>
          <w:i/>
        </w:rPr>
        <w:t>An outlook at emerging technologies that will reshape enterprises in 2025</w:t>
      </w:r>
      <w:r w:rsidRPr="00017840">
        <w:t xml:space="preserve">. Retrieved 12th February from </w:t>
      </w:r>
      <w:hyperlink r:id="rId11" w:history="1">
        <w:r w:rsidRPr="00017840">
          <w:rPr>
            <w:rStyle w:val="Hyperlink"/>
          </w:rPr>
          <w:t>https://cxotoday.com/corner-office/an-outlook-at-emerging-technologies-that-will-reshape-enterprises-in-2025/</w:t>
        </w:r>
      </w:hyperlink>
    </w:p>
    <w:p w14:paraId="3E94E7A5" w14:textId="3835A41C" w:rsidR="002870F6" w:rsidRPr="002870F6" w:rsidRDefault="002870F6" w:rsidP="002870F6">
      <w:pPr>
        <w:pStyle w:val="EndNoteBibliography"/>
        <w:ind w:left="720" w:hanging="720"/>
        <w:jc w:val="left"/>
      </w:pPr>
      <w:r w:rsidRPr="00017840">
        <w:t xml:space="preserve">Dharmadhikari, S. (2024). </w:t>
      </w:r>
      <w:r w:rsidRPr="00017840">
        <w:rPr>
          <w:i/>
        </w:rPr>
        <w:t>Data Processing And Hosting Service Market Report 2025 (Global Edition)</w:t>
      </w:r>
      <w:r w:rsidRPr="00017840">
        <w:t xml:space="preserve">. Retrieved 12th February from </w:t>
      </w:r>
      <w:hyperlink r:id="rId12" w:history="1">
        <w:r w:rsidRPr="00017840">
          <w:rPr>
            <w:rStyle w:val="Hyperlink"/>
          </w:rPr>
          <w:t>https://www.cognitivemarketresearch.com/data-processing-and-hosting-service-market-report?srsltid=AfmBOooKTn0ARsct94lZj_HvZXcCfSF2lVAEjBowwN29JLng_IAK-5sh</w:t>
        </w:r>
      </w:hyperlink>
    </w:p>
    <w:p w14:paraId="5BC31F77" w14:textId="3FCF3C7E" w:rsidR="002870F6" w:rsidRPr="003361F9" w:rsidRDefault="002870F6" w:rsidP="002870F6">
      <w:pPr>
        <w:pStyle w:val="EndNoteBibliography"/>
        <w:ind w:left="720" w:hanging="720"/>
        <w:jc w:val="left"/>
      </w:pPr>
      <w:r>
        <w:rPr>
          <w:color w:val="000000"/>
        </w:rPr>
        <w:fldChar w:fldCharType="begin"/>
      </w:r>
      <w:r>
        <w:rPr>
          <w:color w:val="000000"/>
        </w:rPr>
        <w:instrText xml:space="preserve"> ADDIN EN.REFLIST </w:instrText>
      </w:r>
      <w:r>
        <w:rPr>
          <w:color w:val="000000"/>
        </w:rPr>
        <w:fldChar w:fldCharType="separate"/>
      </w:r>
      <w:r w:rsidRPr="003361F9">
        <w:t xml:space="preserve">Dey, U. (2025). </w:t>
      </w:r>
      <w:r w:rsidRPr="003361F9">
        <w:rPr>
          <w:i/>
        </w:rPr>
        <w:t>GigaCloud Technology: My Optimism Got Ahead (Double Downgrade)</w:t>
      </w:r>
      <w:r w:rsidRPr="003361F9">
        <w:t xml:space="preserve">. Retrieved 10th February from </w:t>
      </w:r>
      <w:hyperlink r:id="rId13" w:history="1">
        <w:r w:rsidRPr="003361F9">
          <w:rPr>
            <w:rStyle w:val="Hyperlink"/>
          </w:rPr>
          <w:t>https://seekingalpha.com/article/4748483-gigacloud-tech-my-optimism-got-ahead-double-downgrade</w:t>
        </w:r>
      </w:hyperlink>
    </w:p>
    <w:p w14:paraId="1899C5A3" w14:textId="77777777" w:rsidR="002870F6" w:rsidRPr="003361F9" w:rsidRDefault="002870F6" w:rsidP="002870F6">
      <w:pPr>
        <w:pStyle w:val="EndNoteBibliography"/>
        <w:ind w:left="720" w:hanging="720"/>
        <w:jc w:val="left"/>
      </w:pPr>
      <w:r w:rsidRPr="003361F9">
        <w:t xml:space="preserve">GigaCloud Tech. (2025). </w:t>
      </w:r>
      <w:r w:rsidRPr="003361F9">
        <w:rPr>
          <w:i/>
        </w:rPr>
        <w:t>Our Mission Statement</w:t>
      </w:r>
      <w:r w:rsidRPr="003361F9">
        <w:t xml:space="preserve">. Retrieved 10th February from </w:t>
      </w:r>
      <w:hyperlink r:id="rId14" w:history="1">
        <w:r w:rsidRPr="003361F9">
          <w:rPr>
            <w:rStyle w:val="Hyperlink"/>
          </w:rPr>
          <w:t>https://www.gigacloudtech.com/about/</w:t>
        </w:r>
      </w:hyperlink>
    </w:p>
    <w:p w14:paraId="5E3FB775" w14:textId="77777777" w:rsidR="002870F6" w:rsidRPr="003361F9" w:rsidRDefault="002870F6" w:rsidP="002870F6">
      <w:pPr>
        <w:pStyle w:val="EndNoteBibliography"/>
        <w:ind w:left="720" w:hanging="720"/>
        <w:jc w:val="left"/>
      </w:pPr>
      <w:r w:rsidRPr="003361F9">
        <w:t xml:space="preserve">gigacloudtech. (2023). </w:t>
      </w:r>
      <w:r w:rsidRPr="003361F9">
        <w:rPr>
          <w:i/>
        </w:rPr>
        <w:t>GigaCloud Technology Inc Recognized as Winner in Furniture Today’s 2023 Reader Rankings</w:t>
      </w:r>
      <w:r w:rsidRPr="003361F9">
        <w:t xml:space="preserve">. Retrieved 10th February from </w:t>
      </w:r>
      <w:hyperlink r:id="rId15" w:history="1">
        <w:r w:rsidRPr="003361F9">
          <w:rPr>
            <w:rStyle w:val="Hyperlink"/>
          </w:rPr>
          <w:t>https://gigacloudtech.gcs-web.com/news-releases/news-release-details/gigacloud-technology-inc-recognized-winner-furniture-todays-2023</w:t>
        </w:r>
      </w:hyperlink>
    </w:p>
    <w:p w14:paraId="4D6DFB04" w14:textId="77777777" w:rsidR="002870F6" w:rsidRPr="003361F9" w:rsidRDefault="002870F6" w:rsidP="002870F6">
      <w:pPr>
        <w:pStyle w:val="EndNoteBibliography"/>
        <w:ind w:left="720" w:hanging="720"/>
        <w:jc w:val="left"/>
      </w:pPr>
      <w:r w:rsidRPr="003361F9">
        <w:t xml:space="preserve">Herrity, J. (2024). </w:t>
      </w:r>
      <w:r w:rsidRPr="003361F9">
        <w:rPr>
          <w:i/>
        </w:rPr>
        <w:t>39 Finance and Business Terms You Should Know</w:t>
      </w:r>
      <w:r w:rsidRPr="003361F9">
        <w:t xml:space="preserve">. Retrieved 10th February from </w:t>
      </w:r>
      <w:hyperlink r:id="rId16" w:history="1">
        <w:r w:rsidRPr="003361F9">
          <w:rPr>
            <w:rStyle w:val="Hyperlink"/>
          </w:rPr>
          <w:t>https://www.indeed.com/career-advice/career-development/common-business-terms</w:t>
        </w:r>
      </w:hyperlink>
    </w:p>
    <w:p w14:paraId="61CB693B" w14:textId="50AF0595" w:rsidR="002870F6" w:rsidRPr="00EE59EB" w:rsidRDefault="002870F6" w:rsidP="002870F6">
      <w:pPr>
        <w:pStyle w:val="EndNoteBibliography"/>
        <w:ind w:left="720" w:hanging="720"/>
        <w:jc w:val="left"/>
      </w:pPr>
      <w:r w:rsidRPr="003361F9">
        <w:t xml:space="preserve">Indeed. (2025). </w:t>
      </w:r>
      <w:r w:rsidRPr="003361F9">
        <w:rPr>
          <w:i/>
        </w:rPr>
        <w:t>Financial Management: Basics for Business Managers</w:t>
      </w:r>
      <w:r w:rsidRPr="003361F9">
        <w:t xml:space="preserve">. Retrieved 10th February from </w:t>
      </w:r>
      <w:hyperlink r:id="rId17" w:history="1">
        <w:r w:rsidRPr="003361F9">
          <w:rPr>
            <w:rStyle w:val="Hyperlink"/>
          </w:rPr>
          <w:t>https://www.indeed.com/hire/c/info/financial-management?aceid</w:t>
        </w:r>
      </w:hyperlink>
      <w:r w:rsidRPr="003361F9">
        <w:t>=</w:t>
      </w:r>
    </w:p>
    <w:p w14:paraId="5390DA65" w14:textId="77777777" w:rsidR="002870F6" w:rsidRPr="00EE59EB" w:rsidRDefault="002870F6" w:rsidP="002870F6">
      <w:pPr>
        <w:pStyle w:val="EndNoteBibliography"/>
        <w:ind w:left="720" w:hanging="720"/>
        <w:jc w:val="left"/>
      </w:pPr>
      <w:r w:rsidRPr="00EE59EB">
        <w:t xml:space="preserve">Marketbeat. (2025a). </w:t>
      </w:r>
      <w:r w:rsidRPr="00EE59EB">
        <w:rPr>
          <w:i/>
        </w:rPr>
        <w:t>Camping World (CWH) News Today</w:t>
      </w:r>
      <w:r w:rsidRPr="00EE59EB">
        <w:t xml:space="preserve">. Retrieved 11th February from </w:t>
      </w:r>
      <w:hyperlink r:id="rId18" w:history="1">
        <w:r w:rsidRPr="00EE59EB">
          <w:rPr>
            <w:rStyle w:val="Hyperlink"/>
          </w:rPr>
          <w:t>https://www.marketbeat.com/stocks/NYSE/CWH/news/</w:t>
        </w:r>
      </w:hyperlink>
    </w:p>
    <w:p w14:paraId="771725FC" w14:textId="77777777" w:rsidR="002870F6" w:rsidRPr="00EE59EB" w:rsidRDefault="002870F6" w:rsidP="002870F6">
      <w:pPr>
        <w:pStyle w:val="EndNoteBibliography"/>
        <w:ind w:left="720" w:hanging="720"/>
        <w:jc w:val="left"/>
      </w:pPr>
      <w:r w:rsidRPr="00EE59EB">
        <w:t xml:space="preserve">Marketbeat. (2025b). </w:t>
      </w:r>
      <w:r w:rsidRPr="00EE59EB">
        <w:rPr>
          <w:i/>
        </w:rPr>
        <w:t>GigaCloud Technology (GCT) Stock Price, News &amp; Analysis</w:t>
      </w:r>
      <w:r w:rsidRPr="00EE59EB">
        <w:t xml:space="preserve">. Retrieved 11th February from </w:t>
      </w:r>
      <w:hyperlink r:id="rId19" w:anchor="google_vignette" w:history="1">
        <w:r w:rsidRPr="00EE59EB">
          <w:rPr>
            <w:rStyle w:val="Hyperlink"/>
          </w:rPr>
          <w:t>https://www.marketbeat.com/stocks/NASDAQ/GCT/#google_vignette</w:t>
        </w:r>
      </w:hyperlink>
    </w:p>
    <w:p w14:paraId="4E1937D2" w14:textId="77777777" w:rsidR="002870F6" w:rsidRPr="00EE59EB" w:rsidRDefault="002870F6" w:rsidP="002870F6">
      <w:pPr>
        <w:pStyle w:val="EndNoteBibliography"/>
        <w:ind w:left="720" w:hanging="720"/>
        <w:jc w:val="left"/>
      </w:pPr>
      <w:r w:rsidRPr="00EE59EB">
        <w:t xml:space="preserve">Marketbeat. (2025c). </w:t>
      </w:r>
      <w:r w:rsidRPr="00EE59EB">
        <w:rPr>
          <w:i/>
        </w:rPr>
        <w:t>GigaCloud Technology (NASDAQ:GCT) Shares Gap Down - Here's Why</w:t>
      </w:r>
      <w:r w:rsidRPr="00EE59EB">
        <w:t xml:space="preserve">. Retrieved 11th February from </w:t>
      </w:r>
      <w:hyperlink r:id="rId20" w:history="1">
        <w:r w:rsidRPr="00EE59EB">
          <w:rPr>
            <w:rStyle w:val="Hyperlink"/>
          </w:rPr>
          <w:t>https://www.marketbeat.com/instant-alerts/gigacloud-technology-nasdaqgct-shares-gap-down-whats-next-2025-02-05/</w:t>
        </w:r>
      </w:hyperlink>
    </w:p>
    <w:p w14:paraId="387F561F" w14:textId="77777777" w:rsidR="002870F6" w:rsidRPr="00EE59EB" w:rsidRDefault="002870F6" w:rsidP="002870F6">
      <w:pPr>
        <w:pStyle w:val="EndNoteBibliography"/>
        <w:ind w:left="720" w:hanging="720"/>
        <w:jc w:val="left"/>
      </w:pPr>
      <w:r w:rsidRPr="00EE59EB">
        <w:t xml:space="preserve">Marketbeat. (2025d). </w:t>
      </w:r>
      <w:r w:rsidRPr="00EE59EB">
        <w:rPr>
          <w:i/>
        </w:rPr>
        <w:t>Revolve Group (RVLV) News Today</w:t>
      </w:r>
      <w:r w:rsidRPr="00EE59EB">
        <w:t xml:space="preserve">. Retrieved 11th February from </w:t>
      </w:r>
      <w:hyperlink r:id="rId21" w:history="1">
        <w:r w:rsidRPr="00EE59EB">
          <w:rPr>
            <w:rStyle w:val="Hyperlink"/>
          </w:rPr>
          <w:t>https://www.marketbeat.com/stocks/NYSE/RVLV/news/</w:t>
        </w:r>
      </w:hyperlink>
    </w:p>
    <w:p w14:paraId="0817AD25" w14:textId="77777777" w:rsidR="002870F6" w:rsidRPr="00EE59EB" w:rsidRDefault="002870F6" w:rsidP="002870F6">
      <w:pPr>
        <w:pStyle w:val="EndNoteBibliography"/>
        <w:ind w:left="720" w:hanging="720"/>
        <w:jc w:val="left"/>
      </w:pPr>
      <w:r w:rsidRPr="00EE59EB">
        <w:lastRenderedPageBreak/>
        <w:t xml:space="preserve">MarketBeat. (2025e). </w:t>
      </w:r>
      <w:r w:rsidRPr="00EE59EB">
        <w:rPr>
          <w:i/>
        </w:rPr>
        <w:t>Revolve Group, Inc. (NYSE:RVLV) Given Consensus Rating of "Moderate Buy" by Analysts</w:t>
      </w:r>
      <w:r w:rsidRPr="00EE59EB">
        <w:t xml:space="preserve">. Retrieved 11th February from </w:t>
      </w:r>
      <w:hyperlink r:id="rId22" w:history="1">
        <w:r w:rsidRPr="00EE59EB">
          <w:rPr>
            <w:rStyle w:val="Hyperlink"/>
          </w:rPr>
          <w:t>https://www.marketbeat.com/instant-alerts/revolve-group-inc-nyservlv-given-consensus-rating-of-moderate-buy-by-analysts-2025-02-10/</w:t>
        </w:r>
      </w:hyperlink>
    </w:p>
    <w:p w14:paraId="0F5A1BAB" w14:textId="77777777" w:rsidR="002870F6" w:rsidRPr="00EE59EB" w:rsidRDefault="002870F6" w:rsidP="002870F6">
      <w:pPr>
        <w:pStyle w:val="EndNoteBibliography"/>
        <w:ind w:left="720" w:hanging="720"/>
        <w:jc w:val="left"/>
      </w:pPr>
      <w:r w:rsidRPr="00EE59EB">
        <w:t xml:space="preserve">Marketbeat. (2025f). </w:t>
      </w:r>
      <w:r w:rsidRPr="00EE59EB">
        <w:rPr>
          <w:i/>
        </w:rPr>
        <w:t>Stephens Investment Management Group LLC Has $19.42 Million Stock Position in Revolve Group, Inc. (NYSE:RVLV)</w:t>
      </w:r>
      <w:r w:rsidRPr="00EE59EB">
        <w:t xml:space="preserve">. Retrieved 11th February from </w:t>
      </w:r>
      <w:hyperlink r:id="rId23" w:history="1">
        <w:r w:rsidRPr="00EE59EB">
          <w:rPr>
            <w:rStyle w:val="Hyperlink"/>
          </w:rPr>
          <w:t>https://www.marketbeat.com/instant-alerts/stephens-investment-management-group-llc-has-1942-million-stock-position-in-revolve-group-inc-nyservlv-2025-02-10/</w:t>
        </w:r>
      </w:hyperlink>
    </w:p>
    <w:p w14:paraId="0EE41D94" w14:textId="77777777" w:rsidR="002870F6" w:rsidRPr="00EE59EB" w:rsidRDefault="002870F6" w:rsidP="002870F6">
      <w:pPr>
        <w:pStyle w:val="EndNoteBibliography"/>
        <w:ind w:left="720" w:hanging="720"/>
        <w:jc w:val="left"/>
      </w:pPr>
      <w:r w:rsidRPr="00EE59EB">
        <w:t>MarketBeat. (2025g).</w:t>
      </w:r>
      <w:r w:rsidRPr="00EE59EB">
        <w:rPr>
          <w:i/>
        </w:rPr>
        <w:t xml:space="preserve"> Truist Financial Issues Positive Forecast for Camping World (NYSE:CWH) Stock Price</w:t>
      </w:r>
      <w:r w:rsidRPr="00EE59EB">
        <w:t xml:space="preserve">. Retrieved 11th February from </w:t>
      </w:r>
      <w:hyperlink r:id="rId24" w:history="1">
        <w:r w:rsidRPr="00EE59EB">
          <w:rPr>
            <w:rStyle w:val="Hyperlink"/>
          </w:rPr>
          <w:t>https://www.marketbeat.com/instant-alerts/truist-financial-issues-positive-forecast-for-camping-world-nysecwh-stock-price-2025-02-10/</w:t>
        </w:r>
      </w:hyperlink>
    </w:p>
    <w:p w14:paraId="604F81EB" w14:textId="77777777" w:rsidR="002870F6" w:rsidRPr="00EE59EB" w:rsidRDefault="002870F6" w:rsidP="002870F6">
      <w:pPr>
        <w:pStyle w:val="EndNoteBibliography"/>
        <w:ind w:left="720" w:hanging="720"/>
        <w:jc w:val="left"/>
      </w:pPr>
      <w:r w:rsidRPr="00EE59EB">
        <w:t xml:space="preserve">MarketBeat. (2025h). </w:t>
      </w:r>
      <w:r w:rsidRPr="00EE59EB">
        <w:rPr>
          <w:i/>
        </w:rPr>
        <w:t>Victoria's Secret &amp; Co. (NYSE:VSCO) Shares Sold by ARGA Investment Management LP</w:t>
      </w:r>
      <w:r w:rsidRPr="00EE59EB">
        <w:t xml:space="preserve">. Retrieved 11th February from </w:t>
      </w:r>
      <w:hyperlink r:id="rId25" w:history="1">
        <w:r w:rsidRPr="00EE59EB">
          <w:rPr>
            <w:rStyle w:val="Hyperlink"/>
          </w:rPr>
          <w:t>https://www.marketbeat.com/instant-alerts/arga-investment-management-lp-trims-position-in-victorias-secret-co-nysevsco-2025-02-05/</w:t>
        </w:r>
      </w:hyperlink>
    </w:p>
    <w:p w14:paraId="2FEAE7CD" w14:textId="2ECB7301" w:rsidR="002870F6" w:rsidRDefault="002870F6" w:rsidP="002870F6">
      <w:pPr>
        <w:pStyle w:val="EndNoteBibliography"/>
        <w:ind w:left="720" w:hanging="720"/>
        <w:jc w:val="left"/>
      </w:pPr>
      <w:r w:rsidRPr="00EE59EB">
        <w:t xml:space="preserve">Marketbeat. (2025i). </w:t>
      </w:r>
      <w:r w:rsidRPr="00EE59EB">
        <w:rPr>
          <w:i/>
        </w:rPr>
        <w:t>Victoria's Secret &amp; Co. (VSCO) News Today</w:t>
      </w:r>
      <w:r w:rsidRPr="00EE59EB">
        <w:t xml:space="preserve">. Retrieved 11th February from </w:t>
      </w:r>
      <w:hyperlink r:id="rId26" w:history="1">
        <w:r w:rsidRPr="00EE59EB">
          <w:rPr>
            <w:rStyle w:val="Hyperlink"/>
          </w:rPr>
          <w:t>https://www.marketbeat.com/stocks/NYSE/VSCO/news/</w:t>
        </w:r>
      </w:hyperlink>
    </w:p>
    <w:p w14:paraId="60350FC0" w14:textId="242C0CD9" w:rsidR="002870F6" w:rsidRPr="003361F9" w:rsidRDefault="002870F6" w:rsidP="002870F6">
      <w:pPr>
        <w:pStyle w:val="EndNoteBibliography"/>
        <w:ind w:left="720" w:hanging="720"/>
        <w:jc w:val="left"/>
      </w:pPr>
      <w:r w:rsidRPr="00017840">
        <w:t xml:space="preserve">Patrizio, A. (2024). </w:t>
      </w:r>
      <w:r w:rsidRPr="00017840">
        <w:rPr>
          <w:i/>
        </w:rPr>
        <w:t>Breaking down the cost of cloud computing in 2025</w:t>
      </w:r>
      <w:r w:rsidRPr="00017840">
        <w:t xml:space="preserve">. Retrieved 12th February from </w:t>
      </w:r>
      <w:hyperlink r:id="rId27" w:history="1">
        <w:r w:rsidRPr="00017840">
          <w:rPr>
            <w:rStyle w:val="Hyperlink"/>
          </w:rPr>
          <w:t>https://www.techtarget.com/whatis/feature/Breaking-down-the-cost-of-cloud-computing</w:t>
        </w:r>
      </w:hyperlink>
    </w:p>
    <w:p w14:paraId="2F151BAC" w14:textId="77777777" w:rsidR="002870F6" w:rsidRPr="003361F9" w:rsidRDefault="002870F6" w:rsidP="002870F6">
      <w:pPr>
        <w:pStyle w:val="EndNoteBibliography"/>
        <w:ind w:left="720" w:hanging="720"/>
        <w:jc w:val="left"/>
      </w:pPr>
      <w:r w:rsidRPr="003361F9">
        <w:t xml:space="preserve">SEC Commission. (2024). </w:t>
      </w:r>
      <w:r w:rsidRPr="003361F9">
        <w:rPr>
          <w:i/>
        </w:rPr>
        <w:t>FORM 10-Q - Gigacloud Technology Inc.</w:t>
      </w:r>
      <w:r w:rsidRPr="003361F9">
        <w:t xml:space="preserve"> Retrieved 10th February from </w:t>
      </w:r>
      <w:hyperlink r:id="rId28" w:history="1">
        <w:r w:rsidRPr="003361F9">
          <w:rPr>
            <w:rStyle w:val="Hyperlink"/>
          </w:rPr>
          <w:t>https://investors.gigacloudtech.com/static-files/6947f67a-7f3f-43e7-8433-9c01d7220e7e</w:t>
        </w:r>
      </w:hyperlink>
    </w:p>
    <w:p w14:paraId="3489376D" w14:textId="2604FCAD" w:rsidR="002870F6" w:rsidRPr="00017840" w:rsidRDefault="002870F6" w:rsidP="002870F6">
      <w:pPr>
        <w:pStyle w:val="EndNoteBibliography"/>
        <w:ind w:left="709" w:hanging="709"/>
        <w:jc w:val="left"/>
      </w:pPr>
      <w:r>
        <w:rPr>
          <w:color w:val="000000"/>
        </w:rPr>
        <w:fldChar w:fldCharType="end"/>
      </w:r>
      <w:r>
        <w:rPr>
          <w:color w:val="000000"/>
        </w:rPr>
        <w:fldChar w:fldCharType="begin"/>
      </w:r>
      <w:r>
        <w:rPr>
          <w:color w:val="000000"/>
        </w:rPr>
        <w:instrText xml:space="preserve"> ADDIN EN.REFLIST </w:instrText>
      </w:r>
      <w:r>
        <w:rPr>
          <w:color w:val="000000"/>
        </w:rPr>
        <w:fldChar w:fldCharType="separate"/>
      </w:r>
      <w:r w:rsidRPr="00017840">
        <w:t xml:space="preserve">The University of Law. (2024). </w:t>
      </w:r>
      <w:r w:rsidRPr="00017840">
        <w:rPr>
          <w:i/>
        </w:rPr>
        <w:t>The importance of data privacy law in the digital age</w:t>
      </w:r>
      <w:r w:rsidRPr="00017840">
        <w:t xml:space="preserve">. Retrieved 12th February from </w:t>
      </w:r>
      <w:hyperlink r:id="rId29" w:history="1">
        <w:r w:rsidRPr="00017840">
          <w:rPr>
            <w:rStyle w:val="Hyperlink"/>
          </w:rPr>
          <w:t>https://www.law.ac.uk/resources/blog/the-importance-of-data-privacy-law-in-the-digital-age/</w:t>
        </w:r>
      </w:hyperlink>
    </w:p>
    <w:p w14:paraId="59C55A40" w14:textId="075E88B4" w:rsidR="002870F6" w:rsidRPr="00EE59EB" w:rsidRDefault="002870F6" w:rsidP="002870F6">
      <w:pPr>
        <w:pStyle w:val="EndNoteBibliography"/>
        <w:ind w:left="720" w:hanging="720"/>
        <w:jc w:val="left"/>
      </w:pPr>
      <w:r>
        <w:rPr>
          <w:color w:val="000000"/>
        </w:rPr>
        <w:fldChar w:fldCharType="end"/>
      </w:r>
      <w:r>
        <w:rPr>
          <w:color w:val="000000"/>
        </w:rPr>
        <w:fldChar w:fldCharType="begin"/>
      </w:r>
      <w:r>
        <w:rPr>
          <w:color w:val="000000"/>
        </w:rPr>
        <w:instrText xml:space="preserve"> ADDIN EN.REFLIST </w:instrText>
      </w:r>
      <w:r>
        <w:rPr>
          <w:color w:val="000000"/>
        </w:rPr>
        <w:fldChar w:fldCharType="separate"/>
      </w:r>
      <w:r w:rsidRPr="00EE59EB">
        <w:t xml:space="preserve">Vincent, J. (2025). </w:t>
      </w:r>
      <w:r w:rsidRPr="00EE59EB">
        <w:rPr>
          <w:i/>
        </w:rPr>
        <w:t>Tracking David Abrams' Abrams Capital Management Portfolio - Q4 2024 Update</w:t>
      </w:r>
      <w:r w:rsidRPr="00EE59EB">
        <w:t xml:space="preserve">. Retrieved 11th February from </w:t>
      </w:r>
      <w:hyperlink r:id="rId30" w:history="1">
        <w:r w:rsidRPr="00EE59EB">
          <w:rPr>
            <w:rStyle w:val="Hyperlink"/>
          </w:rPr>
          <w:t>https://seekingalpha.com/article/4756558-tracking-david-abrams-abrams-capital-management-portfolio-q4-2024-update</w:t>
        </w:r>
      </w:hyperlink>
    </w:p>
    <w:p w14:paraId="03243CB8" w14:textId="77777777" w:rsidR="002870F6" w:rsidRPr="007E1727" w:rsidRDefault="002870F6" w:rsidP="002870F6">
      <w:pPr>
        <w:spacing w:line="480" w:lineRule="auto"/>
        <w:rPr>
          <w:color w:val="000000"/>
        </w:rPr>
      </w:pPr>
      <w:r>
        <w:rPr>
          <w:color w:val="000000"/>
        </w:rPr>
        <w:fldChar w:fldCharType="end"/>
      </w:r>
    </w:p>
    <w:p w14:paraId="57D35E9D" w14:textId="203A0ECD" w:rsidR="002870F6" w:rsidRDefault="002870F6" w:rsidP="002870F6">
      <w:pPr>
        <w:spacing w:line="480" w:lineRule="auto"/>
        <w:rPr>
          <w:color w:val="000000"/>
        </w:rPr>
      </w:pPr>
    </w:p>
    <w:p w14:paraId="0C520018" w14:textId="77777777" w:rsidR="00A42F13" w:rsidRPr="007E1727" w:rsidRDefault="00A42F13" w:rsidP="00567BAE">
      <w:pPr>
        <w:spacing w:line="480" w:lineRule="auto"/>
        <w:rPr>
          <w:color w:val="000000"/>
        </w:rPr>
      </w:pPr>
    </w:p>
    <w:sectPr w:rsidR="00A42F13" w:rsidRPr="007E1727" w:rsidSect="003F5158">
      <w:headerReference w:type="default" r:id="rId31"/>
      <w:headerReference w:type="first" r:id="rId3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B743D" w14:textId="77777777" w:rsidR="006D0B8C" w:rsidRDefault="006D0B8C">
      <w:r>
        <w:separator/>
      </w:r>
    </w:p>
  </w:endnote>
  <w:endnote w:type="continuationSeparator" w:id="0">
    <w:p w14:paraId="145E7639" w14:textId="77777777" w:rsidR="006D0B8C" w:rsidRDefault="006D0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3EA94" w14:textId="77777777" w:rsidR="006D0B8C" w:rsidRDefault="006D0B8C">
      <w:r>
        <w:separator/>
      </w:r>
    </w:p>
  </w:footnote>
  <w:footnote w:type="continuationSeparator" w:id="0">
    <w:p w14:paraId="71B4F097" w14:textId="77777777" w:rsidR="006D0B8C" w:rsidRDefault="006D0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4E46C" w14:textId="77777777" w:rsidR="00B32F73" w:rsidRDefault="00E4493B" w:rsidP="00026142">
    <w:pPr>
      <w:pStyle w:val="Header"/>
      <w:framePr w:wrap="around" w:vAnchor="text" w:hAnchor="margin" w:xAlign="right" w:y="1"/>
      <w:rPr>
        <w:rStyle w:val="PageNumber"/>
      </w:rPr>
    </w:pPr>
    <w:r>
      <w:rPr>
        <w:rStyle w:val="PageNumber"/>
      </w:rPr>
      <w:fldChar w:fldCharType="begin"/>
    </w:r>
    <w:r w:rsidR="00B32F73">
      <w:rPr>
        <w:rStyle w:val="PageNumber"/>
      </w:rPr>
      <w:instrText xml:space="preserve">PAGE  </w:instrText>
    </w:r>
    <w:r>
      <w:rPr>
        <w:rStyle w:val="PageNumber"/>
      </w:rPr>
      <w:fldChar w:fldCharType="separate"/>
    </w:r>
    <w:r w:rsidR="003E42AB">
      <w:rPr>
        <w:rStyle w:val="PageNumber"/>
        <w:noProof/>
      </w:rPr>
      <w:t>3</w:t>
    </w:r>
    <w:r>
      <w:rPr>
        <w:rStyle w:val="PageNumber"/>
      </w:rPr>
      <w:fldChar w:fldCharType="end"/>
    </w:r>
  </w:p>
  <w:p w14:paraId="3A9BF68D" w14:textId="2EFF65A8" w:rsidR="00B32F73" w:rsidRPr="00352E8D" w:rsidRDefault="00ED7EAB" w:rsidP="003F5158">
    <w:pPr>
      <w:pStyle w:val="Header"/>
      <w:ind w:right="360"/>
      <w:rPr>
        <w:sz w:val="22"/>
        <w:szCs w:val="22"/>
      </w:rPr>
    </w:pPr>
    <w:r>
      <w:t>BUS5</w:t>
    </w:r>
    <w:r w:rsidR="007E1727">
      <w:t>00</w:t>
    </w:r>
    <w:r w:rsidR="00D0108C">
      <w:t xml:space="preserve"> </w:t>
    </w:r>
    <w:r w:rsidR="00352229">
      <w:t>Case</w:t>
    </w:r>
    <w:r w:rsidR="006624AB">
      <w:t xml:space="preserve"> </w:t>
    </w:r>
    <w:r w:rsidR="000B5B9E">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0AA7D" w14:textId="73FA77ED" w:rsidR="00B32F73" w:rsidRDefault="003F5158" w:rsidP="00286395">
    <w:pPr>
      <w:pStyle w:val="Header"/>
      <w:jc w:val="right"/>
    </w:pPr>
    <w:r>
      <w:t xml:space="preserve">                                                                                               </w:t>
    </w:r>
    <w:r w:rsidR="00AE1D46">
      <w:fldChar w:fldCharType="begin"/>
    </w:r>
    <w:r w:rsidR="00AE1D46">
      <w:instrText xml:space="preserve"> PAGE   \* MERGEFORMAT </w:instrText>
    </w:r>
    <w:r w:rsidR="00AE1D46">
      <w:fldChar w:fldCharType="separate"/>
    </w:r>
    <w:r w:rsidR="003E42AB">
      <w:rPr>
        <w:noProof/>
      </w:rPr>
      <w:t>1</w:t>
    </w:r>
    <w:r w:rsidR="00AE1D46">
      <w:rPr>
        <w:noProof/>
      </w:rPr>
      <w:fldChar w:fldCharType="end"/>
    </w:r>
  </w:p>
  <w:p w14:paraId="2A3953CE" w14:textId="77777777" w:rsidR="00B32F73" w:rsidRDefault="00B32F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3C7F"/>
    <w:multiLevelType w:val="hybridMultilevel"/>
    <w:tmpl w:val="3C82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E1B75"/>
    <w:multiLevelType w:val="multilevel"/>
    <w:tmpl w:val="0F9E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D4A11"/>
    <w:multiLevelType w:val="multilevel"/>
    <w:tmpl w:val="8A64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314AD"/>
    <w:multiLevelType w:val="hybridMultilevel"/>
    <w:tmpl w:val="D9B0D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D61414"/>
    <w:multiLevelType w:val="hybridMultilevel"/>
    <w:tmpl w:val="E4FC4B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4F31AE"/>
    <w:multiLevelType w:val="multilevel"/>
    <w:tmpl w:val="2E30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D75F4"/>
    <w:multiLevelType w:val="hybridMultilevel"/>
    <w:tmpl w:val="C8BA1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590531"/>
    <w:multiLevelType w:val="multilevel"/>
    <w:tmpl w:val="A4A6E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F63B5E"/>
    <w:multiLevelType w:val="hybridMultilevel"/>
    <w:tmpl w:val="83EC6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983B43"/>
    <w:multiLevelType w:val="hybridMultilevel"/>
    <w:tmpl w:val="84C87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A42AEE"/>
    <w:multiLevelType w:val="multilevel"/>
    <w:tmpl w:val="50AE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1D7AE0"/>
    <w:multiLevelType w:val="hybridMultilevel"/>
    <w:tmpl w:val="A552C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54E86"/>
    <w:multiLevelType w:val="hybridMultilevel"/>
    <w:tmpl w:val="49E8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2A0175"/>
    <w:multiLevelType w:val="hybridMultilevel"/>
    <w:tmpl w:val="466E5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8C2640"/>
    <w:multiLevelType w:val="hybridMultilevel"/>
    <w:tmpl w:val="17F8C9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437F63"/>
    <w:multiLevelType w:val="hybridMultilevel"/>
    <w:tmpl w:val="F36AD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B20004"/>
    <w:multiLevelType w:val="hybridMultilevel"/>
    <w:tmpl w:val="6C9C36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6181D"/>
    <w:multiLevelType w:val="hybridMultilevel"/>
    <w:tmpl w:val="6D1E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5199D"/>
    <w:multiLevelType w:val="hybridMultilevel"/>
    <w:tmpl w:val="9D321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4A7DA7"/>
    <w:multiLevelType w:val="hybridMultilevel"/>
    <w:tmpl w:val="ACB4F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7446CB"/>
    <w:multiLevelType w:val="hybridMultilevel"/>
    <w:tmpl w:val="49A816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629B1222"/>
    <w:multiLevelType w:val="multilevel"/>
    <w:tmpl w:val="87DA43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D85337"/>
    <w:multiLevelType w:val="hybridMultilevel"/>
    <w:tmpl w:val="42A65F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5C46A98"/>
    <w:multiLevelType w:val="multilevel"/>
    <w:tmpl w:val="1026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593D2C"/>
    <w:multiLevelType w:val="hybridMultilevel"/>
    <w:tmpl w:val="2610A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9C32DC0"/>
    <w:multiLevelType w:val="hybridMultilevel"/>
    <w:tmpl w:val="D3C0E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C620CC"/>
    <w:multiLevelType w:val="hybridMultilevel"/>
    <w:tmpl w:val="B6A2E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FA735E4"/>
    <w:multiLevelType w:val="multilevel"/>
    <w:tmpl w:val="5150E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A97C58"/>
    <w:multiLevelType w:val="hybridMultilevel"/>
    <w:tmpl w:val="24BA7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3A31DD"/>
    <w:multiLevelType w:val="hybridMultilevel"/>
    <w:tmpl w:val="602E3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9C72876"/>
    <w:multiLevelType w:val="hybridMultilevel"/>
    <w:tmpl w:val="015A4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DF5753F"/>
    <w:multiLevelType w:val="multilevel"/>
    <w:tmpl w:val="6B82C0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7EED1B21"/>
    <w:multiLevelType w:val="multilevel"/>
    <w:tmpl w:val="FEB4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995848"/>
    <w:multiLevelType w:val="hybridMultilevel"/>
    <w:tmpl w:val="369412D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9957670">
    <w:abstractNumId w:val="18"/>
  </w:num>
  <w:num w:numId="2" w16cid:durableId="560285662">
    <w:abstractNumId w:val="7"/>
  </w:num>
  <w:num w:numId="3" w16cid:durableId="116532470">
    <w:abstractNumId w:val="16"/>
  </w:num>
  <w:num w:numId="4" w16cid:durableId="1778058477">
    <w:abstractNumId w:val="25"/>
  </w:num>
  <w:num w:numId="5" w16cid:durableId="246185727">
    <w:abstractNumId w:val="1"/>
  </w:num>
  <w:num w:numId="6" w16cid:durableId="475952185">
    <w:abstractNumId w:val="29"/>
  </w:num>
  <w:num w:numId="7" w16cid:durableId="1206018613">
    <w:abstractNumId w:val="26"/>
  </w:num>
  <w:num w:numId="8" w16cid:durableId="1632249737">
    <w:abstractNumId w:val="12"/>
  </w:num>
  <w:num w:numId="9" w16cid:durableId="734737583">
    <w:abstractNumId w:val="2"/>
  </w:num>
  <w:num w:numId="10" w16cid:durableId="1737512900">
    <w:abstractNumId w:val="19"/>
  </w:num>
  <w:num w:numId="11" w16cid:durableId="7342244">
    <w:abstractNumId w:val="4"/>
  </w:num>
  <w:num w:numId="12" w16cid:durableId="486090115">
    <w:abstractNumId w:val="27"/>
  </w:num>
  <w:num w:numId="13" w16cid:durableId="272522330">
    <w:abstractNumId w:val="28"/>
  </w:num>
  <w:num w:numId="14" w16cid:durableId="636181277">
    <w:abstractNumId w:val="23"/>
  </w:num>
  <w:num w:numId="15" w16cid:durableId="1839232094">
    <w:abstractNumId w:val="32"/>
  </w:num>
  <w:num w:numId="16" w16cid:durableId="705255314">
    <w:abstractNumId w:val="21"/>
  </w:num>
  <w:num w:numId="17" w16cid:durableId="1791824738">
    <w:abstractNumId w:val="33"/>
  </w:num>
  <w:num w:numId="18" w16cid:durableId="1673486326">
    <w:abstractNumId w:val="8"/>
  </w:num>
  <w:num w:numId="19" w16cid:durableId="776683508">
    <w:abstractNumId w:val="6"/>
  </w:num>
  <w:num w:numId="20" w16cid:durableId="1334528320">
    <w:abstractNumId w:val="13"/>
  </w:num>
  <w:num w:numId="21" w16cid:durableId="369183911">
    <w:abstractNumId w:val="22"/>
  </w:num>
  <w:num w:numId="22" w16cid:durableId="1317103177">
    <w:abstractNumId w:val="9"/>
  </w:num>
  <w:num w:numId="23" w16cid:durableId="2118020393">
    <w:abstractNumId w:val="24"/>
  </w:num>
  <w:num w:numId="24" w16cid:durableId="1909685609">
    <w:abstractNumId w:val="3"/>
  </w:num>
  <w:num w:numId="25" w16cid:durableId="1157574235">
    <w:abstractNumId w:val="30"/>
  </w:num>
  <w:num w:numId="26" w16cid:durableId="1462647863">
    <w:abstractNumId w:val="20"/>
  </w:num>
  <w:num w:numId="27" w16cid:durableId="315233047">
    <w:abstractNumId w:val="10"/>
  </w:num>
  <w:num w:numId="28" w16cid:durableId="1607037064">
    <w:abstractNumId w:val="5"/>
  </w:num>
  <w:num w:numId="29" w16cid:durableId="402875309">
    <w:abstractNumId w:val="31"/>
  </w:num>
  <w:num w:numId="30" w16cid:durableId="1001928422">
    <w:abstractNumId w:val="14"/>
  </w:num>
  <w:num w:numId="31" w16cid:durableId="894971279">
    <w:abstractNumId w:val="0"/>
  </w:num>
  <w:num w:numId="32" w16cid:durableId="116870919">
    <w:abstractNumId w:val="11"/>
  </w:num>
  <w:num w:numId="33" w16cid:durableId="1425226416">
    <w:abstractNumId w:val="15"/>
  </w:num>
  <w:num w:numId="34" w16cid:durableId="20769288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DQ0MzYztzC3MDE0MDFR0lEKTi0uzszPAykwsqgFAJDYExEtAAAA"/>
  </w:docVars>
  <w:rsids>
    <w:rsidRoot w:val="0050433C"/>
    <w:rsid w:val="00026142"/>
    <w:rsid w:val="0003472F"/>
    <w:rsid w:val="000455F6"/>
    <w:rsid w:val="00047143"/>
    <w:rsid w:val="000511FA"/>
    <w:rsid w:val="0006074E"/>
    <w:rsid w:val="00081629"/>
    <w:rsid w:val="00085C7F"/>
    <w:rsid w:val="000A198A"/>
    <w:rsid w:val="000A39A9"/>
    <w:rsid w:val="000B008D"/>
    <w:rsid w:val="000B5B9E"/>
    <w:rsid w:val="000B6AD6"/>
    <w:rsid w:val="000C144F"/>
    <w:rsid w:val="000C1741"/>
    <w:rsid w:val="000C6AD9"/>
    <w:rsid w:val="000E0F36"/>
    <w:rsid w:val="000F1641"/>
    <w:rsid w:val="00106FDE"/>
    <w:rsid w:val="001147C1"/>
    <w:rsid w:val="00131A1B"/>
    <w:rsid w:val="001377D4"/>
    <w:rsid w:val="00147909"/>
    <w:rsid w:val="00150EEF"/>
    <w:rsid w:val="00154F49"/>
    <w:rsid w:val="00163836"/>
    <w:rsid w:val="00167D67"/>
    <w:rsid w:val="001758DE"/>
    <w:rsid w:val="00182003"/>
    <w:rsid w:val="001A55A9"/>
    <w:rsid w:val="001D090F"/>
    <w:rsid w:val="001D1CD9"/>
    <w:rsid w:val="001F40F3"/>
    <w:rsid w:val="0020174B"/>
    <w:rsid w:val="0020241D"/>
    <w:rsid w:val="00211094"/>
    <w:rsid w:val="0021351E"/>
    <w:rsid w:val="00232D09"/>
    <w:rsid w:val="002439C9"/>
    <w:rsid w:val="00250AFB"/>
    <w:rsid w:val="00253713"/>
    <w:rsid w:val="00256256"/>
    <w:rsid w:val="0026433D"/>
    <w:rsid w:val="00283DDE"/>
    <w:rsid w:val="00286395"/>
    <w:rsid w:val="002870F6"/>
    <w:rsid w:val="002A2C9F"/>
    <w:rsid w:val="002B6BFA"/>
    <w:rsid w:val="002C00BE"/>
    <w:rsid w:val="002C7462"/>
    <w:rsid w:val="002D755D"/>
    <w:rsid w:val="002E6180"/>
    <w:rsid w:val="002F7DEF"/>
    <w:rsid w:val="00302BC5"/>
    <w:rsid w:val="00312827"/>
    <w:rsid w:val="00352229"/>
    <w:rsid w:val="00352E8D"/>
    <w:rsid w:val="00354C36"/>
    <w:rsid w:val="00356E85"/>
    <w:rsid w:val="00361978"/>
    <w:rsid w:val="00364C68"/>
    <w:rsid w:val="003A0026"/>
    <w:rsid w:val="003A0B8A"/>
    <w:rsid w:val="003A1801"/>
    <w:rsid w:val="003B7948"/>
    <w:rsid w:val="003C1F45"/>
    <w:rsid w:val="003C7F15"/>
    <w:rsid w:val="003D6821"/>
    <w:rsid w:val="003E42AB"/>
    <w:rsid w:val="003E5F3A"/>
    <w:rsid w:val="003F2F65"/>
    <w:rsid w:val="003F3719"/>
    <w:rsid w:val="003F5158"/>
    <w:rsid w:val="003F62B7"/>
    <w:rsid w:val="00403444"/>
    <w:rsid w:val="00415754"/>
    <w:rsid w:val="00420274"/>
    <w:rsid w:val="00422016"/>
    <w:rsid w:val="00425A9A"/>
    <w:rsid w:val="00430195"/>
    <w:rsid w:val="00436393"/>
    <w:rsid w:val="00440095"/>
    <w:rsid w:val="0044112E"/>
    <w:rsid w:val="00454CAF"/>
    <w:rsid w:val="00456686"/>
    <w:rsid w:val="004578EE"/>
    <w:rsid w:val="004604B1"/>
    <w:rsid w:val="00466700"/>
    <w:rsid w:val="004853C2"/>
    <w:rsid w:val="00492DCE"/>
    <w:rsid w:val="0049530B"/>
    <w:rsid w:val="004A3C8E"/>
    <w:rsid w:val="004C1298"/>
    <w:rsid w:val="004C60DD"/>
    <w:rsid w:val="004D25F9"/>
    <w:rsid w:val="00502A2F"/>
    <w:rsid w:val="005040FF"/>
    <w:rsid w:val="0050433C"/>
    <w:rsid w:val="0050489F"/>
    <w:rsid w:val="00522766"/>
    <w:rsid w:val="00530A67"/>
    <w:rsid w:val="0053493C"/>
    <w:rsid w:val="005412E4"/>
    <w:rsid w:val="005523A4"/>
    <w:rsid w:val="0055467F"/>
    <w:rsid w:val="00561A56"/>
    <w:rsid w:val="00565081"/>
    <w:rsid w:val="00567BAE"/>
    <w:rsid w:val="0057635E"/>
    <w:rsid w:val="00581CE2"/>
    <w:rsid w:val="00595B65"/>
    <w:rsid w:val="005D04BE"/>
    <w:rsid w:val="005E5214"/>
    <w:rsid w:val="005E5984"/>
    <w:rsid w:val="005F3678"/>
    <w:rsid w:val="005F75ED"/>
    <w:rsid w:val="0060394A"/>
    <w:rsid w:val="006124DB"/>
    <w:rsid w:val="00614C45"/>
    <w:rsid w:val="00625523"/>
    <w:rsid w:val="00635453"/>
    <w:rsid w:val="006416F4"/>
    <w:rsid w:val="006431F1"/>
    <w:rsid w:val="00655943"/>
    <w:rsid w:val="0066026A"/>
    <w:rsid w:val="00660724"/>
    <w:rsid w:val="006620E7"/>
    <w:rsid w:val="006624AB"/>
    <w:rsid w:val="00671116"/>
    <w:rsid w:val="00672D33"/>
    <w:rsid w:val="006730B0"/>
    <w:rsid w:val="00674A8C"/>
    <w:rsid w:val="006A5C5E"/>
    <w:rsid w:val="006B25B5"/>
    <w:rsid w:val="006C2D30"/>
    <w:rsid w:val="006D0B8C"/>
    <w:rsid w:val="006E1EF5"/>
    <w:rsid w:val="006F527A"/>
    <w:rsid w:val="0070200D"/>
    <w:rsid w:val="00711DC4"/>
    <w:rsid w:val="007572B6"/>
    <w:rsid w:val="007A1B1F"/>
    <w:rsid w:val="007D1376"/>
    <w:rsid w:val="007E1727"/>
    <w:rsid w:val="007F79BB"/>
    <w:rsid w:val="008026AA"/>
    <w:rsid w:val="0081017D"/>
    <w:rsid w:val="00824636"/>
    <w:rsid w:val="008255DE"/>
    <w:rsid w:val="00841A9E"/>
    <w:rsid w:val="00841F4A"/>
    <w:rsid w:val="00844EE7"/>
    <w:rsid w:val="00854C46"/>
    <w:rsid w:val="00871EA1"/>
    <w:rsid w:val="00873554"/>
    <w:rsid w:val="00880C08"/>
    <w:rsid w:val="00883AAD"/>
    <w:rsid w:val="00896609"/>
    <w:rsid w:val="008B7F59"/>
    <w:rsid w:val="008C7966"/>
    <w:rsid w:val="008D23AA"/>
    <w:rsid w:val="008D3F0D"/>
    <w:rsid w:val="008D5C02"/>
    <w:rsid w:val="008E469D"/>
    <w:rsid w:val="008F74C4"/>
    <w:rsid w:val="009007D4"/>
    <w:rsid w:val="00900F9D"/>
    <w:rsid w:val="0091254D"/>
    <w:rsid w:val="0094570E"/>
    <w:rsid w:val="00946D6C"/>
    <w:rsid w:val="00954A41"/>
    <w:rsid w:val="00960B22"/>
    <w:rsid w:val="009749F9"/>
    <w:rsid w:val="009758CD"/>
    <w:rsid w:val="00977C3F"/>
    <w:rsid w:val="00990C99"/>
    <w:rsid w:val="00991A50"/>
    <w:rsid w:val="009A3DEA"/>
    <w:rsid w:val="009B6C8F"/>
    <w:rsid w:val="009C36FD"/>
    <w:rsid w:val="009C743D"/>
    <w:rsid w:val="009D375B"/>
    <w:rsid w:val="009D378A"/>
    <w:rsid w:val="00A00D2C"/>
    <w:rsid w:val="00A037C7"/>
    <w:rsid w:val="00A13576"/>
    <w:rsid w:val="00A1437D"/>
    <w:rsid w:val="00A225DF"/>
    <w:rsid w:val="00A27F42"/>
    <w:rsid w:val="00A37498"/>
    <w:rsid w:val="00A426A5"/>
    <w:rsid w:val="00A42F13"/>
    <w:rsid w:val="00A4532E"/>
    <w:rsid w:val="00A6361F"/>
    <w:rsid w:val="00A725AF"/>
    <w:rsid w:val="00A75CFC"/>
    <w:rsid w:val="00A93CC1"/>
    <w:rsid w:val="00A95E3A"/>
    <w:rsid w:val="00AA3F20"/>
    <w:rsid w:val="00AB3DAE"/>
    <w:rsid w:val="00AC5BC5"/>
    <w:rsid w:val="00AD4FAC"/>
    <w:rsid w:val="00AE0290"/>
    <w:rsid w:val="00AE1D46"/>
    <w:rsid w:val="00AE3507"/>
    <w:rsid w:val="00B02092"/>
    <w:rsid w:val="00B02A05"/>
    <w:rsid w:val="00B02DD7"/>
    <w:rsid w:val="00B042E8"/>
    <w:rsid w:val="00B068A8"/>
    <w:rsid w:val="00B10C07"/>
    <w:rsid w:val="00B224B6"/>
    <w:rsid w:val="00B22E3F"/>
    <w:rsid w:val="00B32F73"/>
    <w:rsid w:val="00B37F5A"/>
    <w:rsid w:val="00B4235C"/>
    <w:rsid w:val="00B46D48"/>
    <w:rsid w:val="00B6023E"/>
    <w:rsid w:val="00B6034C"/>
    <w:rsid w:val="00B62A78"/>
    <w:rsid w:val="00B63EEF"/>
    <w:rsid w:val="00B742AF"/>
    <w:rsid w:val="00B80515"/>
    <w:rsid w:val="00B8112C"/>
    <w:rsid w:val="00B93D96"/>
    <w:rsid w:val="00BD1C8D"/>
    <w:rsid w:val="00BD3733"/>
    <w:rsid w:val="00BD6FF4"/>
    <w:rsid w:val="00BE410C"/>
    <w:rsid w:val="00BF7C6E"/>
    <w:rsid w:val="00C16DDC"/>
    <w:rsid w:val="00C21C1C"/>
    <w:rsid w:val="00C22265"/>
    <w:rsid w:val="00C277CE"/>
    <w:rsid w:val="00C31727"/>
    <w:rsid w:val="00C51C2A"/>
    <w:rsid w:val="00C5533D"/>
    <w:rsid w:val="00C74F8E"/>
    <w:rsid w:val="00C769CD"/>
    <w:rsid w:val="00C863E2"/>
    <w:rsid w:val="00C928F6"/>
    <w:rsid w:val="00C9472F"/>
    <w:rsid w:val="00CA791D"/>
    <w:rsid w:val="00CC057E"/>
    <w:rsid w:val="00CC3628"/>
    <w:rsid w:val="00CD2528"/>
    <w:rsid w:val="00CE2E66"/>
    <w:rsid w:val="00CF070A"/>
    <w:rsid w:val="00D0108C"/>
    <w:rsid w:val="00D059B1"/>
    <w:rsid w:val="00D11005"/>
    <w:rsid w:val="00D13AC0"/>
    <w:rsid w:val="00D172FE"/>
    <w:rsid w:val="00D200BF"/>
    <w:rsid w:val="00D47CA9"/>
    <w:rsid w:val="00D57D30"/>
    <w:rsid w:val="00D7332A"/>
    <w:rsid w:val="00D844B2"/>
    <w:rsid w:val="00D87258"/>
    <w:rsid w:val="00D951FA"/>
    <w:rsid w:val="00D96DDF"/>
    <w:rsid w:val="00DA07CA"/>
    <w:rsid w:val="00DB099B"/>
    <w:rsid w:val="00DB7248"/>
    <w:rsid w:val="00DD0C4D"/>
    <w:rsid w:val="00DE1A4A"/>
    <w:rsid w:val="00DE3706"/>
    <w:rsid w:val="00DE5909"/>
    <w:rsid w:val="00DE7652"/>
    <w:rsid w:val="00DF5ED9"/>
    <w:rsid w:val="00E026E0"/>
    <w:rsid w:val="00E046B3"/>
    <w:rsid w:val="00E062B8"/>
    <w:rsid w:val="00E347E9"/>
    <w:rsid w:val="00E40301"/>
    <w:rsid w:val="00E4493B"/>
    <w:rsid w:val="00E45724"/>
    <w:rsid w:val="00E45886"/>
    <w:rsid w:val="00E63F35"/>
    <w:rsid w:val="00E642BD"/>
    <w:rsid w:val="00E64AD3"/>
    <w:rsid w:val="00E80CFF"/>
    <w:rsid w:val="00E940DC"/>
    <w:rsid w:val="00E94A62"/>
    <w:rsid w:val="00EB211C"/>
    <w:rsid w:val="00EB49EE"/>
    <w:rsid w:val="00EB65C0"/>
    <w:rsid w:val="00EC03B6"/>
    <w:rsid w:val="00ED47C2"/>
    <w:rsid w:val="00ED7EAB"/>
    <w:rsid w:val="00EF1CB2"/>
    <w:rsid w:val="00EF57CD"/>
    <w:rsid w:val="00F20699"/>
    <w:rsid w:val="00F257CE"/>
    <w:rsid w:val="00F35BE5"/>
    <w:rsid w:val="00F378C4"/>
    <w:rsid w:val="00F43BA1"/>
    <w:rsid w:val="00F468D1"/>
    <w:rsid w:val="00F62922"/>
    <w:rsid w:val="00F64DDA"/>
    <w:rsid w:val="00F7461E"/>
    <w:rsid w:val="00F80470"/>
    <w:rsid w:val="00F84528"/>
    <w:rsid w:val="00F8489A"/>
    <w:rsid w:val="00F84D66"/>
    <w:rsid w:val="00F93AF8"/>
    <w:rsid w:val="00F96D0F"/>
    <w:rsid w:val="00F96D5C"/>
    <w:rsid w:val="00FA5A4C"/>
    <w:rsid w:val="00FA7A69"/>
    <w:rsid w:val="00FC4E40"/>
    <w:rsid w:val="00FD1EEE"/>
    <w:rsid w:val="00FE13EC"/>
    <w:rsid w:val="00FF19B7"/>
    <w:rsid w:val="00FF3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B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6D0F"/>
    <w:rPr>
      <w:sz w:val="24"/>
      <w:szCs w:val="24"/>
    </w:rPr>
  </w:style>
  <w:style w:type="paragraph" w:styleId="Heading1">
    <w:name w:val="heading 1"/>
    <w:basedOn w:val="Normal"/>
    <w:next w:val="Normal"/>
    <w:qFormat/>
    <w:rsid w:val="00DE765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4034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rsid w:val="001377D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433C"/>
    <w:pPr>
      <w:tabs>
        <w:tab w:val="center" w:pos="4320"/>
        <w:tab w:val="right" w:pos="8640"/>
      </w:tabs>
    </w:pPr>
  </w:style>
  <w:style w:type="paragraph" w:styleId="Footer">
    <w:name w:val="footer"/>
    <w:basedOn w:val="Normal"/>
    <w:rsid w:val="0050433C"/>
    <w:pPr>
      <w:tabs>
        <w:tab w:val="center" w:pos="4320"/>
        <w:tab w:val="right" w:pos="8640"/>
      </w:tabs>
    </w:pPr>
  </w:style>
  <w:style w:type="character" w:styleId="Hyperlink">
    <w:name w:val="Hyperlink"/>
    <w:basedOn w:val="DefaultParagraphFont"/>
    <w:uiPriority w:val="99"/>
    <w:rsid w:val="0050433C"/>
    <w:rPr>
      <w:color w:val="0000FF"/>
      <w:u w:val="single"/>
    </w:rPr>
  </w:style>
  <w:style w:type="character" w:styleId="Strong">
    <w:name w:val="Strong"/>
    <w:basedOn w:val="DefaultParagraphFont"/>
    <w:uiPriority w:val="22"/>
    <w:qFormat/>
    <w:rsid w:val="000C6AD9"/>
    <w:rPr>
      <w:b/>
      <w:bCs/>
    </w:rPr>
  </w:style>
  <w:style w:type="paragraph" w:customStyle="1" w:styleId="TitlePage">
    <w:name w:val="TitlePage"/>
    <w:basedOn w:val="Normal"/>
    <w:rsid w:val="00561A56"/>
    <w:pPr>
      <w:tabs>
        <w:tab w:val="left" w:pos="576"/>
      </w:tabs>
      <w:overflowPunct w:val="0"/>
      <w:autoSpaceDE w:val="0"/>
      <w:autoSpaceDN w:val="0"/>
      <w:adjustRightInd w:val="0"/>
      <w:spacing w:line="480" w:lineRule="atLeast"/>
      <w:jc w:val="center"/>
      <w:textAlignment w:val="baseline"/>
    </w:pPr>
    <w:rPr>
      <w:rFonts w:ascii="Courier New" w:hAnsi="Courier New"/>
      <w:szCs w:val="20"/>
    </w:rPr>
  </w:style>
  <w:style w:type="paragraph" w:customStyle="1" w:styleId="References">
    <w:name w:val="References"/>
    <w:basedOn w:val="Normal"/>
    <w:rsid w:val="00561A56"/>
    <w:pPr>
      <w:keepLines/>
      <w:widowControl w:val="0"/>
      <w:tabs>
        <w:tab w:val="left" w:pos="576"/>
      </w:tabs>
      <w:overflowPunct w:val="0"/>
      <w:autoSpaceDE w:val="0"/>
      <w:autoSpaceDN w:val="0"/>
      <w:adjustRightInd w:val="0"/>
      <w:spacing w:line="480" w:lineRule="atLeast"/>
      <w:ind w:left="720" w:hanging="720"/>
      <w:textAlignment w:val="baseline"/>
    </w:pPr>
    <w:rPr>
      <w:rFonts w:ascii="Courier New" w:hAnsi="Courier New"/>
      <w:szCs w:val="20"/>
    </w:rPr>
  </w:style>
  <w:style w:type="paragraph" w:styleId="BalloonText">
    <w:name w:val="Balloon Text"/>
    <w:basedOn w:val="Normal"/>
    <w:semiHidden/>
    <w:rsid w:val="00561A56"/>
    <w:rPr>
      <w:rFonts w:ascii="Tahoma" w:hAnsi="Tahoma" w:cs="Tahoma"/>
      <w:sz w:val="16"/>
      <w:szCs w:val="16"/>
    </w:rPr>
  </w:style>
  <w:style w:type="character" w:styleId="PageNumber">
    <w:name w:val="page number"/>
    <w:basedOn w:val="DefaultParagraphFont"/>
    <w:rsid w:val="00561A56"/>
  </w:style>
  <w:style w:type="paragraph" w:styleId="NormalWeb">
    <w:name w:val="Normal (Web)"/>
    <w:basedOn w:val="Normal"/>
    <w:uiPriority w:val="99"/>
    <w:unhideWhenUsed/>
    <w:rsid w:val="0070200D"/>
    <w:pPr>
      <w:spacing w:before="100" w:beforeAutospacing="1" w:after="100" w:afterAutospacing="1"/>
    </w:pPr>
  </w:style>
  <w:style w:type="character" w:customStyle="1" w:styleId="HeaderChar">
    <w:name w:val="Header Char"/>
    <w:basedOn w:val="DefaultParagraphFont"/>
    <w:link w:val="Header"/>
    <w:uiPriority w:val="99"/>
    <w:rsid w:val="00106FDE"/>
    <w:rPr>
      <w:sz w:val="24"/>
      <w:szCs w:val="24"/>
    </w:rPr>
  </w:style>
  <w:style w:type="character" w:styleId="Emphasis">
    <w:name w:val="Emphasis"/>
    <w:basedOn w:val="DefaultParagraphFont"/>
    <w:uiPriority w:val="20"/>
    <w:qFormat/>
    <w:rsid w:val="00A42F13"/>
    <w:rPr>
      <w:i/>
      <w:iCs/>
    </w:rPr>
  </w:style>
  <w:style w:type="character" w:customStyle="1" w:styleId="medium-normal">
    <w:name w:val="medium-normal"/>
    <w:basedOn w:val="DefaultParagraphFont"/>
    <w:rsid w:val="00A42F13"/>
  </w:style>
  <w:style w:type="character" w:styleId="PlaceholderText">
    <w:name w:val="Placeholder Text"/>
    <w:basedOn w:val="DefaultParagraphFont"/>
    <w:uiPriority w:val="99"/>
    <w:semiHidden/>
    <w:rsid w:val="0053493C"/>
    <w:rPr>
      <w:color w:val="808080"/>
    </w:rPr>
  </w:style>
  <w:style w:type="character" w:customStyle="1" w:styleId="Style1">
    <w:name w:val="Style1"/>
    <w:basedOn w:val="DefaultParagraphFont"/>
    <w:uiPriority w:val="1"/>
    <w:rsid w:val="00F96D5C"/>
  </w:style>
  <w:style w:type="character" w:styleId="FollowedHyperlink">
    <w:name w:val="FollowedHyperlink"/>
    <w:basedOn w:val="DefaultParagraphFont"/>
    <w:rsid w:val="00256256"/>
    <w:rPr>
      <w:color w:val="800080"/>
      <w:u w:val="single"/>
    </w:rPr>
  </w:style>
  <w:style w:type="paragraph" w:styleId="ListParagraph">
    <w:name w:val="List Paragraph"/>
    <w:basedOn w:val="Normal"/>
    <w:link w:val="ListParagraphChar"/>
    <w:uiPriority w:val="34"/>
    <w:qFormat/>
    <w:rsid w:val="008026AA"/>
    <w:pPr>
      <w:ind w:left="720"/>
      <w:contextualSpacing/>
    </w:pPr>
  </w:style>
  <w:style w:type="paragraph" w:customStyle="1" w:styleId="text">
    <w:name w:val="text"/>
    <w:basedOn w:val="Normal"/>
    <w:rsid w:val="008D5C02"/>
    <w:pPr>
      <w:spacing w:before="100" w:beforeAutospacing="1" w:after="100" w:afterAutospacing="1"/>
    </w:pPr>
    <w:rPr>
      <w:rFonts w:ascii="Verdana" w:hAnsi="Verdana"/>
      <w:color w:val="000000"/>
    </w:rPr>
  </w:style>
  <w:style w:type="paragraph" w:customStyle="1" w:styleId="Blockquote">
    <w:name w:val="Blockquote"/>
    <w:basedOn w:val="Normal"/>
    <w:rsid w:val="00DD0C4D"/>
    <w:pPr>
      <w:spacing w:before="100" w:after="100"/>
      <w:ind w:left="360" w:right="360"/>
    </w:pPr>
    <w:rPr>
      <w:snapToGrid w:val="0"/>
      <w:szCs w:val="20"/>
    </w:rPr>
  </w:style>
  <w:style w:type="paragraph" w:styleId="BodyText">
    <w:name w:val="Body Text"/>
    <w:basedOn w:val="Normal"/>
    <w:link w:val="BodyTextChar"/>
    <w:rsid w:val="00DD0C4D"/>
    <w:pPr>
      <w:spacing w:after="120"/>
    </w:pPr>
    <w:rPr>
      <w:rFonts w:ascii="Book Antiqua" w:hAnsi="Book Antiqua"/>
    </w:rPr>
  </w:style>
  <w:style w:type="character" w:customStyle="1" w:styleId="BodyTextChar">
    <w:name w:val="Body Text Char"/>
    <w:basedOn w:val="DefaultParagraphFont"/>
    <w:link w:val="BodyText"/>
    <w:rsid w:val="00DD0C4D"/>
    <w:rPr>
      <w:rFonts w:ascii="Book Antiqua" w:hAnsi="Book Antiqua"/>
      <w:sz w:val="24"/>
      <w:szCs w:val="24"/>
    </w:rPr>
  </w:style>
  <w:style w:type="character" w:customStyle="1" w:styleId="Heading4Char">
    <w:name w:val="Heading 4 Char"/>
    <w:basedOn w:val="DefaultParagraphFont"/>
    <w:link w:val="Heading4"/>
    <w:semiHidden/>
    <w:rsid w:val="001377D4"/>
    <w:rPr>
      <w:rFonts w:asciiTheme="majorHAnsi" w:eastAsiaTheme="majorEastAsia" w:hAnsiTheme="majorHAnsi" w:cstheme="majorBidi"/>
      <w:b/>
      <w:bCs/>
      <w:i/>
      <w:iCs/>
      <w:color w:val="4F81BD" w:themeColor="accent1"/>
      <w:sz w:val="24"/>
      <w:szCs w:val="24"/>
    </w:rPr>
  </w:style>
  <w:style w:type="paragraph" w:customStyle="1" w:styleId="citation">
    <w:name w:val="citation"/>
    <w:basedOn w:val="Normal"/>
    <w:rsid w:val="001377D4"/>
    <w:pPr>
      <w:spacing w:before="100" w:beforeAutospacing="1" w:after="100" w:afterAutospacing="1"/>
    </w:pPr>
  </w:style>
  <w:style w:type="character" w:customStyle="1" w:styleId="Heading2Char">
    <w:name w:val="Heading 2 Char"/>
    <w:basedOn w:val="DefaultParagraphFont"/>
    <w:link w:val="Heading2"/>
    <w:semiHidden/>
    <w:rsid w:val="00403444"/>
    <w:rPr>
      <w:rFonts w:asciiTheme="majorHAnsi" w:eastAsiaTheme="majorEastAsia" w:hAnsiTheme="majorHAnsi" w:cstheme="majorBidi"/>
      <w:b/>
      <w:bCs/>
      <w:color w:val="4F81BD" w:themeColor="accent1"/>
      <w:sz w:val="26"/>
      <w:szCs w:val="26"/>
    </w:rPr>
  </w:style>
  <w:style w:type="table" w:styleId="TableGrid">
    <w:name w:val="Table Grid"/>
    <w:basedOn w:val="TableNormal"/>
    <w:rsid w:val="009C7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C743D"/>
    <w:rPr>
      <w:color w:val="605E5C"/>
      <w:shd w:val="clear" w:color="auto" w:fill="E1DFDD"/>
    </w:rPr>
  </w:style>
  <w:style w:type="character" w:styleId="SubtleEmphasis">
    <w:name w:val="Subtle Emphasis"/>
    <w:basedOn w:val="DefaultParagraphFont"/>
    <w:uiPriority w:val="19"/>
    <w:qFormat/>
    <w:rsid w:val="00D0108C"/>
    <w:rPr>
      <w:i/>
      <w:iCs/>
      <w:color w:val="404040" w:themeColor="text1" w:themeTint="BF"/>
    </w:rPr>
  </w:style>
  <w:style w:type="character" w:customStyle="1" w:styleId="ListParagraphChar">
    <w:name w:val="List Paragraph Char"/>
    <w:basedOn w:val="DefaultParagraphFont"/>
    <w:link w:val="ListParagraph"/>
    <w:uiPriority w:val="34"/>
    <w:locked/>
    <w:rsid w:val="00ED7EAB"/>
    <w:rPr>
      <w:sz w:val="24"/>
      <w:szCs w:val="24"/>
    </w:rPr>
  </w:style>
  <w:style w:type="paragraph" w:customStyle="1" w:styleId="EndNoteBibliography">
    <w:name w:val="EndNote Bibliography"/>
    <w:basedOn w:val="Normal"/>
    <w:link w:val="EndNoteBibliographyChar"/>
    <w:rsid w:val="002870F6"/>
    <w:pPr>
      <w:jc w:val="center"/>
    </w:pPr>
    <w:rPr>
      <w:noProof/>
    </w:rPr>
  </w:style>
  <w:style w:type="character" w:customStyle="1" w:styleId="EndNoteBibliographyChar">
    <w:name w:val="EndNote Bibliography Char"/>
    <w:basedOn w:val="DefaultParagraphFont"/>
    <w:link w:val="EndNoteBibliography"/>
    <w:rsid w:val="002870F6"/>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07556">
      <w:bodyDiv w:val="1"/>
      <w:marLeft w:val="0"/>
      <w:marRight w:val="0"/>
      <w:marTop w:val="0"/>
      <w:marBottom w:val="0"/>
      <w:divBdr>
        <w:top w:val="none" w:sz="0" w:space="0" w:color="auto"/>
        <w:left w:val="none" w:sz="0" w:space="0" w:color="auto"/>
        <w:bottom w:val="none" w:sz="0" w:space="0" w:color="auto"/>
        <w:right w:val="none" w:sz="0" w:space="0" w:color="auto"/>
      </w:divBdr>
      <w:divsChild>
        <w:div w:id="2069301289">
          <w:marLeft w:val="270"/>
          <w:marRight w:val="0"/>
          <w:marTop w:val="0"/>
          <w:marBottom w:val="0"/>
          <w:divBdr>
            <w:top w:val="none" w:sz="0" w:space="0" w:color="auto"/>
            <w:left w:val="none" w:sz="0" w:space="0" w:color="auto"/>
            <w:bottom w:val="none" w:sz="0" w:space="0" w:color="auto"/>
            <w:right w:val="none" w:sz="0" w:space="0" w:color="auto"/>
          </w:divBdr>
        </w:div>
      </w:divsChild>
    </w:div>
    <w:div w:id="370737454">
      <w:bodyDiv w:val="1"/>
      <w:marLeft w:val="0"/>
      <w:marRight w:val="0"/>
      <w:marTop w:val="0"/>
      <w:marBottom w:val="0"/>
      <w:divBdr>
        <w:top w:val="none" w:sz="0" w:space="0" w:color="auto"/>
        <w:left w:val="none" w:sz="0" w:space="0" w:color="auto"/>
        <w:bottom w:val="none" w:sz="0" w:space="0" w:color="auto"/>
        <w:right w:val="none" w:sz="0" w:space="0" w:color="auto"/>
      </w:divBdr>
      <w:divsChild>
        <w:div w:id="880362866">
          <w:marLeft w:val="0"/>
          <w:marRight w:val="0"/>
          <w:marTop w:val="0"/>
          <w:marBottom w:val="0"/>
          <w:divBdr>
            <w:top w:val="none" w:sz="0" w:space="0" w:color="auto"/>
            <w:left w:val="none" w:sz="0" w:space="0" w:color="auto"/>
            <w:bottom w:val="none" w:sz="0" w:space="0" w:color="auto"/>
            <w:right w:val="none" w:sz="0" w:space="0" w:color="auto"/>
          </w:divBdr>
        </w:div>
        <w:div w:id="1029768546">
          <w:marLeft w:val="0"/>
          <w:marRight w:val="0"/>
          <w:marTop w:val="0"/>
          <w:marBottom w:val="0"/>
          <w:divBdr>
            <w:top w:val="none" w:sz="0" w:space="0" w:color="auto"/>
            <w:left w:val="none" w:sz="0" w:space="0" w:color="auto"/>
            <w:bottom w:val="none" w:sz="0" w:space="0" w:color="auto"/>
            <w:right w:val="none" w:sz="0" w:space="0" w:color="auto"/>
          </w:divBdr>
        </w:div>
      </w:divsChild>
    </w:div>
    <w:div w:id="423383619">
      <w:bodyDiv w:val="1"/>
      <w:marLeft w:val="0"/>
      <w:marRight w:val="0"/>
      <w:marTop w:val="0"/>
      <w:marBottom w:val="0"/>
      <w:divBdr>
        <w:top w:val="none" w:sz="0" w:space="0" w:color="auto"/>
        <w:left w:val="none" w:sz="0" w:space="0" w:color="auto"/>
        <w:bottom w:val="none" w:sz="0" w:space="0" w:color="auto"/>
        <w:right w:val="none" w:sz="0" w:space="0" w:color="auto"/>
      </w:divBdr>
    </w:div>
    <w:div w:id="546374017">
      <w:bodyDiv w:val="1"/>
      <w:marLeft w:val="0"/>
      <w:marRight w:val="0"/>
      <w:marTop w:val="0"/>
      <w:marBottom w:val="0"/>
      <w:divBdr>
        <w:top w:val="none" w:sz="0" w:space="0" w:color="auto"/>
        <w:left w:val="none" w:sz="0" w:space="0" w:color="auto"/>
        <w:bottom w:val="none" w:sz="0" w:space="0" w:color="auto"/>
        <w:right w:val="none" w:sz="0" w:space="0" w:color="auto"/>
      </w:divBdr>
    </w:div>
    <w:div w:id="752974292">
      <w:bodyDiv w:val="1"/>
      <w:marLeft w:val="0"/>
      <w:marRight w:val="0"/>
      <w:marTop w:val="0"/>
      <w:marBottom w:val="0"/>
      <w:divBdr>
        <w:top w:val="none" w:sz="0" w:space="0" w:color="auto"/>
        <w:left w:val="none" w:sz="0" w:space="0" w:color="auto"/>
        <w:bottom w:val="none" w:sz="0" w:space="0" w:color="auto"/>
        <w:right w:val="none" w:sz="0" w:space="0" w:color="auto"/>
      </w:divBdr>
      <w:divsChild>
        <w:div w:id="899823821">
          <w:marLeft w:val="270"/>
          <w:marRight w:val="0"/>
          <w:marTop w:val="0"/>
          <w:marBottom w:val="0"/>
          <w:divBdr>
            <w:top w:val="none" w:sz="0" w:space="0" w:color="auto"/>
            <w:left w:val="none" w:sz="0" w:space="0" w:color="auto"/>
            <w:bottom w:val="none" w:sz="0" w:space="0" w:color="auto"/>
            <w:right w:val="none" w:sz="0" w:space="0" w:color="auto"/>
          </w:divBdr>
        </w:div>
      </w:divsChild>
    </w:div>
    <w:div w:id="1383478237">
      <w:bodyDiv w:val="1"/>
      <w:marLeft w:val="0"/>
      <w:marRight w:val="0"/>
      <w:marTop w:val="0"/>
      <w:marBottom w:val="0"/>
      <w:divBdr>
        <w:top w:val="none" w:sz="0" w:space="0" w:color="auto"/>
        <w:left w:val="none" w:sz="0" w:space="0" w:color="auto"/>
        <w:bottom w:val="none" w:sz="0" w:space="0" w:color="auto"/>
        <w:right w:val="none" w:sz="0" w:space="0" w:color="auto"/>
      </w:divBdr>
      <w:divsChild>
        <w:div w:id="215552807">
          <w:marLeft w:val="0"/>
          <w:marRight w:val="0"/>
          <w:marTop w:val="0"/>
          <w:marBottom w:val="0"/>
          <w:divBdr>
            <w:top w:val="none" w:sz="0" w:space="0" w:color="auto"/>
            <w:left w:val="none" w:sz="0" w:space="0" w:color="auto"/>
            <w:bottom w:val="none" w:sz="0" w:space="0" w:color="auto"/>
            <w:right w:val="none" w:sz="0" w:space="0" w:color="auto"/>
          </w:divBdr>
        </w:div>
      </w:divsChild>
    </w:div>
    <w:div w:id="1537039509">
      <w:bodyDiv w:val="1"/>
      <w:marLeft w:val="0"/>
      <w:marRight w:val="0"/>
      <w:marTop w:val="0"/>
      <w:marBottom w:val="0"/>
      <w:divBdr>
        <w:top w:val="none" w:sz="0" w:space="0" w:color="auto"/>
        <w:left w:val="none" w:sz="0" w:space="0" w:color="auto"/>
        <w:bottom w:val="none" w:sz="0" w:space="0" w:color="auto"/>
        <w:right w:val="none" w:sz="0" w:space="0" w:color="auto"/>
      </w:divBdr>
    </w:div>
    <w:div w:id="1601140207">
      <w:bodyDiv w:val="1"/>
      <w:marLeft w:val="0"/>
      <w:marRight w:val="0"/>
      <w:marTop w:val="0"/>
      <w:marBottom w:val="0"/>
      <w:divBdr>
        <w:top w:val="none" w:sz="0" w:space="0" w:color="auto"/>
        <w:left w:val="none" w:sz="0" w:space="0" w:color="auto"/>
        <w:bottom w:val="none" w:sz="0" w:space="0" w:color="auto"/>
        <w:right w:val="none" w:sz="0" w:space="0" w:color="auto"/>
      </w:divBdr>
    </w:div>
    <w:div w:id="1604267136">
      <w:bodyDiv w:val="1"/>
      <w:marLeft w:val="0"/>
      <w:marRight w:val="0"/>
      <w:marTop w:val="0"/>
      <w:marBottom w:val="0"/>
      <w:divBdr>
        <w:top w:val="none" w:sz="0" w:space="0" w:color="auto"/>
        <w:left w:val="none" w:sz="0" w:space="0" w:color="auto"/>
        <w:bottom w:val="none" w:sz="0" w:space="0" w:color="auto"/>
        <w:right w:val="none" w:sz="0" w:space="0" w:color="auto"/>
      </w:divBdr>
      <w:divsChild>
        <w:div w:id="103620229">
          <w:marLeft w:val="0"/>
          <w:marRight w:val="0"/>
          <w:marTop w:val="0"/>
          <w:marBottom w:val="0"/>
          <w:divBdr>
            <w:top w:val="none" w:sz="0" w:space="0" w:color="auto"/>
            <w:left w:val="none" w:sz="0" w:space="0" w:color="auto"/>
            <w:bottom w:val="none" w:sz="0" w:space="0" w:color="auto"/>
            <w:right w:val="none" w:sz="0" w:space="0" w:color="auto"/>
          </w:divBdr>
        </w:div>
      </w:divsChild>
    </w:div>
    <w:div w:id="1818911426">
      <w:bodyDiv w:val="1"/>
      <w:marLeft w:val="0"/>
      <w:marRight w:val="0"/>
      <w:marTop w:val="0"/>
      <w:marBottom w:val="0"/>
      <w:divBdr>
        <w:top w:val="none" w:sz="0" w:space="0" w:color="auto"/>
        <w:left w:val="none" w:sz="0" w:space="0" w:color="auto"/>
        <w:bottom w:val="none" w:sz="0" w:space="0" w:color="auto"/>
        <w:right w:val="none" w:sz="0" w:space="0" w:color="auto"/>
      </w:divBdr>
      <w:divsChild>
        <w:div w:id="843858841">
          <w:marLeft w:val="0"/>
          <w:marRight w:val="0"/>
          <w:marTop w:val="0"/>
          <w:marBottom w:val="0"/>
          <w:divBdr>
            <w:top w:val="none" w:sz="0" w:space="0" w:color="auto"/>
            <w:left w:val="none" w:sz="0" w:space="0" w:color="auto"/>
            <w:bottom w:val="none" w:sz="0" w:space="0" w:color="auto"/>
            <w:right w:val="none" w:sz="0" w:space="0" w:color="auto"/>
          </w:divBdr>
          <w:divsChild>
            <w:div w:id="64187054">
              <w:marLeft w:val="0"/>
              <w:marRight w:val="0"/>
              <w:marTop w:val="0"/>
              <w:marBottom w:val="0"/>
              <w:divBdr>
                <w:top w:val="none" w:sz="0" w:space="0" w:color="auto"/>
                <w:left w:val="none" w:sz="0" w:space="0" w:color="auto"/>
                <w:bottom w:val="none" w:sz="0" w:space="0" w:color="auto"/>
                <w:right w:val="none" w:sz="0" w:space="0" w:color="auto"/>
              </w:divBdr>
            </w:div>
            <w:div w:id="291401831">
              <w:marLeft w:val="0"/>
              <w:marRight w:val="0"/>
              <w:marTop w:val="0"/>
              <w:marBottom w:val="0"/>
              <w:divBdr>
                <w:top w:val="none" w:sz="0" w:space="0" w:color="auto"/>
                <w:left w:val="none" w:sz="0" w:space="0" w:color="auto"/>
                <w:bottom w:val="none" w:sz="0" w:space="0" w:color="auto"/>
                <w:right w:val="none" w:sz="0" w:space="0" w:color="auto"/>
              </w:divBdr>
            </w:div>
            <w:div w:id="494303537">
              <w:marLeft w:val="0"/>
              <w:marRight w:val="0"/>
              <w:marTop w:val="0"/>
              <w:marBottom w:val="0"/>
              <w:divBdr>
                <w:top w:val="none" w:sz="0" w:space="0" w:color="auto"/>
                <w:left w:val="none" w:sz="0" w:space="0" w:color="auto"/>
                <w:bottom w:val="none" w:sz="0" w:space="0" w:color="auto"/>
                <w:right w:val="none" w:sz="0" w:space="0" w:color="auto"/>
              </w:divBdr>
            </w:div>
            <w:div w:id="687028462">
              <w:marLeft w:val="0"/>
              <w:marRight w:val="0"/>
              <w:marTop w:val="0"/>
              <w:marBottom w:val="0"/>
              <w:divBdr>
                <w:top w:val="none" w:sz="0" w:space="0" w:color="auto"/>
                <w:left w:val="none" w:sz="0" w:space="0" w:color="auto"/>
                <w:bottom w:val="none" w:sz="0" w:space="0" w:color="auto"/>
                <w:right w:val="none" w:sz="0" w:space="0" w:color="auto"/>
              </w:divBdr>
            </w:div>
            <w:div w:id="925117198">
              <w:marLeft w:val="0"/>
              <w:marRight w:val="0"/>
              <w:marTop w:val="0"/>
              <w:marBottom w:val="0"/>
              <w:divBdr>
                <w:top w:val="none" w:sz="0" w:space="0" w:color="auto"/>
                <w:left w:val="none" w:sz="0" w:space="0" w:color="auto"/>
                <w:bottom w:val="none" w:sz="0" w:space="0" w:color="auto"/>
                <w:right w:val="none" w:sz="0" w:space="0" w:color="auto"/>
              </w:divBdr>
            </w:div>
            <w:div w:id="1029725384">
              <w:marLeft w:val="0"/>
              <w:marRight w:val="0"/>
              <w:marTop w:val="0"/>
              <w:marBottom w:val="0"/>
              <w:divBdr>
                <w:top w:val="none" w:sz="0" w:space="0" w:color="auto"/>
                <w:left w:val="none" w:sz="0" w:space="0" w:color="auto"/>
                <w:bottom w:val="none" w:sz="0" w:space="0" w:color="auto"/>
                <w:right w:val="none" w:sz="0" w:space="0" w:color="auto"/>
              </w:divBdr>
            </w:div>
            <w:div w:id="1108432954">
              <w:marLeft w:val="0"/>
              <w:marRight w:val="0"/>
              <w:marTop w:val="0"/>
              <w:marBottom w:val="0"/>
              <w:divBdr>
                <w:top w:val="none" w:sz="0" w:space="0" w:color="auto"/>
                <w:left w:val="none" w:sz="0" w:space="0" w:color="auto"/>
                <w:bottom w:val="none" w:sz="0" w:space="0" w:color="auto"/>
                <w:right w:val="none" w:sz="0" w:space="0" w:color="auto"/>
              </w:divBdr>
            </w:div>
            <w:div w:id="1163668651">
              <w:marLeft w:val="0"/>
              <w:marRight w:val="0"/>
              <w:marTop w:val="0"/>
              <w:marBottom w:val="0"/>
              <w:divBdr>
                <w:top w:val="none" w:sz="0" w:space="0" w:color="auto"/>
                <w:left w:val="none" w:sz="0" w:space="0" w:color="auto"/>
                <w:bottom w:val="none" w:sz="0" w:space="0" w:color="auto"/>
                <w:right w:val="none" w:sz="0" w:space="0" w:color="auto"/>
              </w:divBdr>
            </w:div>
            <w:div w:id="1199122324">
              <w:marLeft w:val="0"/>
              <w:marRight w:val="0"/>
              <w:marTop w:val="0"/>
              <w:marBottom w:val="0"/>
              <w:divBdr>
                <w:top w:val="none" w:sz="0" w:space="0" w:color="auto"/>
                <w:left w:val="none" w:sz="0" w:space="0" w:color="auto"/>
                <w:bottom w:val="none" w:sz="0" w:space="0" w:color="auto"/>
                <w:right w:val="none" w:sz="0" w:space="0" w:color="auto"/>
              </w:divBdr>
            </w:div>
            <w:div w:id="1237087385">
              <w:marLeft w:val="0"/>
              <w:marRight w:val="0"/>
              <w:marTop w:val="0"/>
              <w:marBottom w:val="0"/>
              <w:divBdr>
                <w:top w:val="none" w:sz="0" w:space="0" w:color="auto"/>
                <w:left w:val="none" w:sz="0" w:space="0" w:color="auto"/>
                <w:bottom w:val="none" w:sz="0" w:space="0" w:color="auto"/>
                <w:right w:val="none" w:sz="0" w:space="0" w:color="auto"/>
              </w:divBdr>
            </w:div>
            <w:div w:id="1292590609">
              <w:marLeft w:val="0"/>
              <w:marRight w:val="0"/>
              <w:marTop w:val="0"/>
              <w:marBottom w:val="0"/>
              <w:divBdr>
                <w:top w:val="none" w:sz="0" w:space="0" w:color="auto"/>
                <w:left w:val="none" w:sz="0" w:space="0" w:color="auto"/>
                <w:bottom w:val="none" w:sz="0" w:space="0" w:color="auto"/>
                <w:right w:val="none" w:sz="0" w:space="0" w:color="auto"/>
              </w:divBdr>
            </w:div>
            <w:div w:id="1806895819">
              <w:marLeft w:val="0"/>
              <w:marRight w:val="0"/>
              <w:marTop w:val="0"/>
              <w:marBottom w:val="0"/>
              <w:divBdr>
                <w:top w:val="none" w:sz="0" w:space="0" w:color="auto"/>
                <w:left w:val="none" w:sz="0" w:space="0" w:color="auto"/>
                <w:bottom w:val="none" w:sz="0" w:space="0" w:color="auto"/>
                <w:right w:val="none" w:sz="0" w:space="0" w:color="auto"/>
              </w:divBdr>
            </w:div>
            <w:div w:id="207724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56474">
      <w:bodyDiv w:val="1"/>
      <w:marLeft w:val="0"/>
      <w:marRight w:val="0"/>
      <w:marTop w:val="0"/>
      <w:marBottom w:val="0"/>
      <w:divBdr>
        <w:top w:val="none" w:sz="0" w:space="0" w:color="auto"/>
        <w:left w:val="none" w:sz="0" w:space="0" w:color="auto"/>
        <w:bottom w:val="none" w:sz="0" w:space="0" w:color="auto"/>
        <w:right w:val="none" w:sz="0" w:space="0" w:color="auto"/>
      </w:divBdr>
      <w:divsChild>
        <w:div w:id="518809630">
          <w:marLeft w:val="0"/>
          <w:marRight w:val="0"/>
          <w:marTop w:val="0"/>
          <w:marBottom w:val="0"/>
          <w:divBdr>
            <w:top w:val="none" w:sz="0" w:space="0" w:color="auto"/>
            <w:left w:val="none" w:sz="0" w:space="0" w:color="auto"/>
            <w:bottom w:val="none" w:sz="0" w:space="0" w:color="auto"/>
            <w:right w:val="none" w:sz="0" w:space="0" w:color="auto"/>
          </w:divBdr>
        </w:div>
        <w:div w:id="2127846446">
          <w:marLeft w:val="0"/>
          <w:marRight w:val="0"/>
          <w:marTop w:val="0"/>
          <w:marBottom w:val="0"/>
          <w:divBdr>
            <w:top w:val="none" w:sz="0" w:space="0" w:color="auto"/>
            <w:left w:val="none" w:sz="0" w:space="0" w:color="auto"/>
            <w:bottom w:val="none" w:sz="0" w:space="0" w:color="auto"/>
            <w:right w:val="none" w:sz="0" w:space="0" w:color="auto"/>
          </w:divBdr>
        </w:div>
      </w:divsChild>
    </w:div>
    <w:div w:id="1887795819">
      <w:bodyDiv w:val="1"/>
      <w:marLeft w:val="0"/>
      <w:marRight w:val="0"/>
      <w:marTop w:val="0"/>
      <w:marBottom w:val="0"/>
      <w:divBdr>
        <w:top w:val="none" w:sz="0" w:space="0" w:color="auto"/>
        <w:left w:val="none" w:sz="0" w:space="0" w:color="auto"/>
        <w:bottom w:val="none" w:sz="0" w:space="0" w:color="auto"/>
        <w:right w:val="none" w:sz="0" w:space="0" w:color="auto"/>
      </w:divBdr>
    </w:div>
    <w:div w:id="1928923627">
      <w:bodyDiv w:val="1"/>
      <w:marLeft w:val="0"/>
      <w:marRight w:val="0"/>
      <w:marTop w:val="0"/>
      <w:marBottom w:val="0"/>
      <w:divBdr>
        <w:top w:val="none" w:sz="0" w:space="0" w:color="auto"/>
        <w:left w:val="none" w:sz="0" w:space="0" w:color="auto"/>
        <w:bottom w:val="none" w:sz="0" w:space="0" w:color="auto"/>
        <w:right w:val="none" w:sz="0" w:space="0" w:color="auto"/>
      </w:divBdr>
    </w:div>
    <w:div w:id="1998613196">
      <w:bodyDiv w:val="1"/>
      <w:marLeft w:val="0"/>
      <w:marRight w:val="0"/>
      <w:marTop w:val="0"/>
      <w:marBottom w:val="0"/>
      <w:divBdr>
        <w:top w:val="none" w:sz="0" w:space="0" w:color="auto"/>
        <w:left w:val="none" w:sz="0" w:space="0" w:color="auto"/>
        <w:bottom w:val="none" w:sz="0" w:space="0" w:color="auto"/>
        <w:right w:val="none" w:sz="0" w:space="0" w:color="auto"/>
      </w:divBdr>
      <w:divsChild>
        <w:div w:id="840436897">
          <w:marLeft w:val="0"/>
          <w:marRight w:val="0"/>
          <w:marTop w:val="0"/>
          <w:marBottom w:val="0"/>
          <w:divBdr>
            <w:top w:val="none" w:sz="0" w:space="0" w:color="auto"/>
            <w:left w:val="none" w:sz="0" w:space="0" w:color="auto"/>
            <w:bottom w:val="none" w:sz="0" w:space="0" w:color="auto"/>
            <w:right w:val="none" w:sz="0" w:space="0" w:color="auto"/>
          </w:divBdr>
          <w:divsChild>
            <w:div w:id="66850938">
              <w:marLeft w:val="0"/>
              <w:marRight w:val="0"/>
              <w:marTop w:val="0"/>
              <w:marBottom w:val="0"/>
              <w:divBdr>
                <w:top w:val="none" w:sz="0" w:space="0" w:color="auto"/>
                <w:left w:val="none" w:sz="0" w:space="0" w:color="auto"/>
                <w:bottom w:val="none" w:sz="0" w:space="0" w:color="auto"/>
                <w:right w:val="none" w:sz="0" w:space="0" w:color="auto"/>
              </w:divBdr>
              <w:divsChild>
                <w:div w:id="63308612">
                  <w:marLeft w:val="0"/>
                  <w:marRight w:val="0"/>
                  <w:marTop w:val="0"/>
                  <w:marBottom w:val="0"/>
                  <w:divBdr>
                    <w:top w:val="none" w:sz="0" w:space="0" w:color="auto"/>
                    <w:left w:val="none" w:sz="0" w:space="0" w:color="auto"/>
                    <w:bottom w:val="none" w:sz="0" w:space="0" w:color="auto"/>
                    <w:right w:val="none" w:sz="0" w:space="0" w:color="auto"/>
                  </w:divBdr>
                </w:div>
                <w:div w:id="507600893">
                  <w:marLeft w:val="0"/>
                  <w:marRight w:val="0"/>
                  <w:marTop w:val="0"/>
                  <w:marBottom w:val="0"/>
                  <w:divBdr>
                    <w:top w:val="none" w:sz="0" w:space="0" w:color="auto"/>
                    <w:left w:val="none" w:sz="0" w:space="0" w:color="auto"/>
                    <w:bottom w:val="none" w:sz="0" w:space="0" w:color="auto"/>
                    <w:right w:val="none" w:sz="0" w:space="0" w:color="auto"/>
                  </w:divBdr>
                </w:div>
                <w:div w:id="676425165">
                  <w:marLeft w:val="0"/>
                  <w:marRight w:val="0"/>
                  <w:marTop w:val="0"/>
                  <w:marBottom w:val="0"/>
                  <w:divBdr>
                    <w:top w:val="none" w:sz="0" w:space="0" w:color="auto"/>
                    <w:left w:val="none" w:sz="0" w:space="0" w:color="auto"/>
                    <w:bottom w:val="none" w:sz="0" w:space="0" w:color="auto"/>
                    <w:right w:val="none" w:sz="0" w:space="0" w:color="auto"/>
                  </w:divBdr>
                </w:div>
                <w:div w:id="980883284">
                  <w:marLeft w:val="0"/>
                  <w:marRight w:val="0"/>
                  <w:marTop w:val="0"/>
                  <w:marBottom w:val="0"/>
                  <w:divBdr>
                    <w:top w:val="none" w:sz="0" w:space="0" w:color="auto"/>
                    <w:left w:val="none" w:sz="0" w:space="0" w:color="auto"/>
                    <w:bottom w:val="none" w:sz="0" w:space="0" w:color="auto"/>
                    <w:right w:val="none" w:sz="0" w:space="0" w:color="auto"/>
                  </w:divBdr>
                </w:div>
                <w:div w:id="1039889539">
                  <w:marLeft w:val="0"/>
                  <w:marRight w:val="0"/>
                  <w:marTop w:val="0"/>
                  <w:marBottom w:val="0"/>
                  <w:divBdr>
                    <w:top w:val="none" w:sz="0" w:space="0" w:color="auto"/>
                    <w:left w:val="none" w:sz="0" w:space="0" w:color="auto"/>
                    <w:bottom w:val="none" w:sz="0" w:space="0" w:color="auto"/>
                    <w:right w:val="none" w:sz="0" w:space="0" w:color="auto"/>
                  </w:divBdr>
                </w:div>
                <w:div w:id="1294368215">
                  <w:marLeft w:val="0"/>
                  <w:marRight w:val="0"/>
                  <w:marTop w:val="0"/>
                  <w:marBottom w:val="0"/>
                  <w:divBdr>
                    <w:top w:val="none" w:sz="0" w:space="0" w:color="auto"/>
                    <w:left w:val="none" w:sz="0" w:space="0" w:color="auto"/>
                    <w:bottom w:val="none" w:sz="0" w:space="0" w:color="auto"/>
                    <w:right w:val="none" w:sz="0" w:space="0" w:color="auto"/>
                  </w:divBdr>
                </w:div>
                <w:div w:id="1297224433">
                  <w:marLeft w:val="0"/>
                  <w:marRight w:val="0"/>
                  <w:marTop w:val="0"/>
                  <w:marBottom w:val="0"/>
                  <w:divBdr>
                    <w:top w:val="none" w:sz="0" w:space="0" w:color="auto"/>
                    <w:left w:val="none" w:sz="0" w:space="0" w:color="auto"/>
                    <w:bottom w:val="none" w:sz="0" w:space="0" w:color="auto"/>
                    <w:right w:val="none" w:sz="0" w:space="0" w:color="auto"/>
                  </w:divBdr>
                </w:div>
                <w:div w:id="1459177339">
                  <w:marLeft w:val="0"/>
                  <w:marRight w:val="0"/>
                  <w:marTop w:val="0"/>
                  <w:marBottom w:val="0"/>
                  <w:divBdr>
                    <w:top w:val="none" w:sz="0" w:space="0" w:color="auto"/>
                    <w:left w:val="none" w:sz="0" w:space="0" w:color="auto"/>
                    <w:bottom w:val="none" w:sz="0" w:space="0" w:color="auto"/>
                    <w:right w:val="none" w:sz="0" w:space="0" w:color="auto"/>
                  </w:divBdr>
                </w:div>
                <w:div w:id="1633903714">
                  <w:marLeft w:val="0"/>
                  <w:marRight w:val="0"/>
                  <w:marTop w:val="0"/>
                  <w:marBottom w:val="0"/>
                  <w:divBdr>
                    <w:top w:val="none" w:sz="0" w:space="0" w:color="auto"/>
                    <w:left w:val="none" w:sz="0" w:space="0" w:color="auto"/>
                    <w:bottom w:val="none" w:sz="0" w:space="0" w:color="auto"/>
                    <w:right w:val="none" w:sz="0" w:space="0" w:color="auto"/>
                  </w:divBdr>
                </w:div>
                <w:div w:id="1900825596">
                  <w:marLeft w:val="0"/>
                  <w:marRight w:val="0"/>
                  <w:marTop w:val="0"/>
                  <w:marBottom w:val="0"/>
                  <w:divBdr>
                    <w:top w:val="none" w:sz="0" w:space="0" w:color="auto"/>
                    <w:left w:val="none" w:sz="0" w:space="0" w:color="auto"/>
                    <w:bottom w:val="none" w:sz="0" w:space="0" w:color="auto"/>
                    <w:right w:val="none" w:sz="0" w:space="0" w:color="auto"/>
                  </w:divBdr>
                </w:div>
              </w:divsChild>
            </w:div>
            <w:div w:id="40587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eekingalpha.com/article/4748483-gigacloud-tech-my-optimism-got-ahead-double-downgrade" TargetMode="External"/><Relationship Id="rId18" Type="http://schemas.openxmlformats.org/officeDocument/2006/relationships/hyperlink" Target="https://www.marketbeat.com/stocks/NYSE/CWH/news/" TargetMode="External"/><Relationship Id="rId26" Type="http://schemas.openxmlformats.org/officeDocument/2006/relationships/hyperlink" Target="https://www.marketbeat.com/stocks/NYSE/VSCO/news/" TargetMode="External"/><Relationship Id="rId3" Type="http://schemas.openxmlformats.org/officeDocument/2006/relationships/settings" Target="settings.xml"/><Relationship Id="rId21" Type="http://schemas.openxmlformats.org/officeDocument/2006/relationships/hyperlink" Target="https://www.marketbeat.com/stocks/NYSE/RVLV/news/" TargetMode="External"/><Relationship Id="rId34" Type="http://schemas.openxmlformats.org/officeDocument/2006/relationships/theme" Target="theme/theme1.xml"/><Relationship Id="rId7" Type="http://schemas.openxmlformats.org/officeDocument/2006/relationships/hyperlink" Target="https://www.americanbankingnews.com/2025/02/04/q1-eps-estimates-for-vsco-lifted-by-telsey-advisory-group.html" TargetMode="External"/><Relationship Id="rId12" Type="http://schemas.openxmlformats.org/officeDocument/2006/relationships/hyperlink" Target="https://www.cognitivemarketresearch.com/data-processing-and-hosting-service-market-report?srsltid=AfmBOooKTn0ARsct94lZj_HvZXcCfSF2lVAEjBowwN29JLng_IAK-5sh" TargetMode="External"/><Relationship Id="rId17" Type="http://schemas.openxmlformats.org/officeDocument/2006/relationships/hyperlink" Target="https://www.indeed.com/hire/c/info/financial-management?aceid" TargetMode="External"/><Relationship Id="rId25" Type="http://schemas.openxmlformats.org/officeDocument/2006/relationships/hyperlink" Target="https://www.marketbeat.com/instant-alerts/arga-investment-management-lp-trims-position-in-victorias-secret-co-nysevsco-2025-02-05/"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ndeed.com/career-advice/career-development/common-business-terms" TargetMode="External"/><Relationship Id="rId20" Type="http://schemas.openxmlformats.org/officeDocument/2006/relationships/hyperlink" Target="https://www.marketbeat.com/instant-alerts/gigacloud-technology-nasdaqgct-shares-gap-down-whats-next-2025-02-05/" TargetMode="External"/><Relationship Id="rId29" Type="http://schemas.openxmlformats.org/officeDocument/2006/relationships/hyperlink" Target="https://www.law.ac.uk/resources/blog/the-importance-of-data-privacy-law-in-the-digital-ag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xotoday.com/corner-office/an-outlook-at-emerging-technologies-that-will-reshape-enterprises-in-2025/" TargetMode="External"/><Relationship Id="rId24" Type="http://schemas.openxmlformats.org/officeDocument/2006/relationships/hyperlink" Target="https://www.marketbeat.com/instant-alerts/truist-financial-issues-positive-forecast-for-camping-world-nysecwh-stock-price-2025-02-10/"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gigacloudtech.gcs-web.com/news-releases/news-release-details/gigacloud-technology-inc-recognized-winner-furniture-todays-2023" TargetMode="External"/><Relationship Id="rId23" Type="http://schemas.openxmlformats.org/officeDocument/2006/relationships/hyperlink" Target="https://www.marketbeat.com/instant-alerts/stephens-investment-management-group-llc-has-1942-million-stock-position-in-revolve-group-inc-nyservlv-2025-02-10/" TargetMode="External"/><Relationship Id="rId28" Type="http://schemas.openxmlformats.org/officeDocument/2006/relationships/hyperlink" Target="https://investors.gigacloudtech.com/static-files/6947f67a-7f3f-43e7-8433-9c01d7220e7e" TargetMode="External"/><Relationship Id="rId10" Type="http://schemas.openxmlformats.org/officeDocument/2006/relationships/hyperlink" Target="https://my-ibisworld-com.trident.idm.oclc.org/us/en/industry/51821/at-a-glance" TargetMode="External"/><Relationship Id="rId19" Type="http://schemas.openxmlformats.org/officeDocument/2006/relationships/hyperlink" Target="https://www.marketbeat.com/stocks/NASDAQ/GCT/"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publications/the-state-of-uk-competition-report-2024/the-state-of-uk-competition-report-2024" TargetMode="External"/><Relationship Id="rId14" Type="http://schemas.openxmlformats.org/officeDocument/2006/relationships/hyperlink" Target="https://www.gigacloudtech.com/about/" TargetMode="External"/><Relationship Id="rId22" Type="http://schemas.openxmlformats.org/officeDocument/2006/relationships/hyperlink" Target="https://www.marketbeat.com/instant-alerts/revolve-group-inc-nyservlv-given-consensus-rating-of-moderate-buy-by-analysts-2025-02-10/" TargetMode="External"/><Relationship Id="rId27" Type="http://schemas.openxmlformats.org/officeDocument/2006/relationships/hyperlink" Target="https://www.techtarget.com/whatis/feature/Breaking-down-the-cost-of-cloud-computing" TargetMode="External"/><Relationship Id="rId30" Type="http://schemas.openxmlformats.org/officeDocument/2006/relationships/hyperlink" Target="https://seekingalpha.com/article/4756558-tracking-david-abrams-abrams-capital-management-portfolio-q4-2024-update" TargetMode="External"/><Relationship Id="rId8" Type="http://schemas.openxmlformats.org/officeDocument/2006/relationships/hyperlink" Target="https://www.americanbankingnews.com/2025/02/07/gigacloud-technology-nasdaqgct-and-rde-nasdaqgift-head-to-head-analysi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2623</Words>
  <Characters>14900</Characters>
  <DocSecurity>0</DocSecurity>
  <Lines>201</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2025-01-28T00:07:00Z</dcterms:created>
  <dcterms:modified xsi:type="dcterms:W3CDTF">2025-02-12T10:07:00Z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2025-02-12T09:37:29Z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e4c17908-c14d-44d8-b8eb-109f609a7e57</vt:lpwstr>
  </property>
  <property fmtid="{D5CDD505-2E9C-101B-9397-08002B2CF9AE}" pid="7" name="MSIP_Label_defa4170-0d19-0005-0004-bc88714345d2_ActionId">
    <vt:lpwstr>19ab28d3-1bcb-40af-9fdc-b909f248d676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