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7DCD" w14:textId="77777777"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09AA434B" w14:textId="77777777"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466FA396" w14:textId="77777777"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0D8CF4B9" w14:textId="77777777"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253C824D" w14:textId="40E818C3" w:rsidR="00286395" w:rsidRPr="00B224B6" w:rsidRDefault="00F378C4" w:rsidP="00F378C4">
      <w:pPr>
        <w:spacing w:line="480" w:lineRule="auto"/>
        <w:jc w:val="center"/>
        <w:rPr>
          <w:b/>
          <w:bCs/>
        </w:rPr>
      </w:pPr>
      <w:r>
        <w:rPr>
          <w:b/>
          <w:bCs/>
        </w:rPr>
        <w:t>BUS</w:t>
      </w:r>
      <w:r w:rsidR="002C7462">
        <w:rPr>
          <w:b/>
          <w:bCs/>
        </w:rPr>
        <w:t>5</w:t>
      </w:r>
      <w:r w:rsidR="002B6BFA">
        <w:rPr>
          <w:b/>
          <w:bCs/>
        </w:rPr>
        <w:t>20</w:t>
      </w:r>
      <w:r w:rsidR="003C7F15">
        <w:rPr>
          <w:b/>
          <w:bCs/>
        </w:rPr>
        <w:t xml:space="preserve"> </w:t>
      </w:r>
      <w:r w:rsidR="00352229">
        <w:rPr>
          <w:b/>
          <w:bCs/>
        </w:rPr>
        <w:t>Case</w:t>
      </w:r>
      <w:r w:rsidR="006624AB">
        <w:rPr>
          <w:b/>
          <w:bCs/>
        </w:rPr>
        <w:t xml:space="preserve"> </w:t>
      </w:r>
      <w:r w:rsidR="00E5427F">
        <w:rPr>
          <w:b/>
          <w:bCs/>
        </w:rPr>
        <w:t>2</w:t>
      </w:r>
    </w:p>
    <w:p w14:paraId="215330E4" w14:textId="77777777" w:rsidR="00286395" w:rsidRPr="00B224B6" w:rsidRDefault="00286395" w:rsidP="00B224B6">
      <w:pPr>
        <w:spacing w:line="480" w:lineRule="auto"/>
        <w:ind w:firstLine="720"/>
        <w:jc w:val="center"/>
      </w:pPr>
    </w:p>
    <w:p w14:paraId="0C9670E1" w14:textId="77777777" w:rsidR="00454CAF" w:rsidRDefault="00454CAF" w:rsidP="00F378C4">
      <w:pPr>
        <w:spacing w:line="480" w:lineRule="auto"/>
        <w:jc w:val="center"/>
      </w:pPr>
      <w:r>
        <w:t>Your Name</w:t>
      </w:r>
    </w:p>
    <w:p w14:paraId="02750D95" w14:textId="77777777" w:rsidR="00454CAF" w:rsidRDefault="00454CAF" w:rsidP="00F378C4">
      <w:pPr>
        <w:spacing w:line="480" w:lineRule="auto"/>
        <w:jc w:val="center"/>
      </w:pPr>
      <w:r>
        <w:t xml:space="preserve">Trident University International </w:t>
      </w:r>
    </w:p>
    <w:p w14:paraId="3002A249" w14:textId="77777777" w:rsidR="002C7462" w:rsidRDefault="002C7462" w:rsidP="00F378C4">
      <w:pPr>
        <w:spacing w:line="480" w:lineRule="auto"/>
        <w:jc w:val="center"/>
      </w:pPr>
      <w:r w:rsidRPr="002C7462">
        <w:t>BUS520 Business Analytics and Decision Making</w:t>
      </w:r>
    </w:p>
    <w:p w14:paraId="54C389E1" w14:textId="7A086B20" w:rsidR="00844EE7" w:rsidRPr="00B224B6" w:rsidRDefault="00454CAF" w:rsidP="00F378C4">
      <w:pPr>
        <w:spacing w:line="480" w:lineRule="auto"/>
        <w:jc w:val="center"/>
      </w:pPr>
      <w:r>
        <w:t>Due Date</w:t>
      </w:r>
    </w:p>
    <w:p w14:paraId="6C8D5EF8" w14:textId="56D46919" w:rsidR="003C7F15" w:rsidRPr="00B224B6" w:rsidRDefault="00352E8D" w:rsidP="003C7F15">
      <w:pPr>
        <w:spacing w:line="480" w:lineRule="auto"/>
        <w:jc w:val="center"/>
        <w:rPr>
          <w:b/>
          <w:bCs/>
        </w:rPr>
      </w:pPr>
      <w:r w:rsidRPr="00B224B6">
        <w:br w:type="page"/>
      </w:r>
    </w:p>
    <w:p w14:paraId="1DF862F2" w14:textId="6F115243" w:rsidR="00D200BF" w:rsidRPr="00B224B6" w:rsidRDefault="00F378C4" w:rsidP="00B224B6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BUS</w:t>
      </w:r>
      <w:r w:rsidR="002C7462">
        <w:rPr>
          <w:b/>
          <w:bCs/>
        </w:rPr>
        <w:t>520</w:t>
      </w:r>
      <w:r w:rsidR="003C7F15">
        <w:rPr>
          <w:b/>
          <w:bCs/>
        </w:rPr>
        <w:t xml:space="preserve"> </w:t>
      </w:r>
      <w:r w:rsidR="00352229">
        <w:rPr>
          <w:b/>
          <w:bCs/>
        </w:rPr>
        <w:t>Case</w:t>
      </w:r>
      <w:r w:rsidR="006624AB">
        <w:rPr>
          <w:b/>
          <w:bCs/>
        </w:rPr>
        <w:t xml:space="preserve"> </w:t>
      </w:r>
      <w:r w:rsidR="00E5427F">
        <w:rPr>
          <w:b/>
          <w:bCs/>
        </w:rPr>
        <w:t>2</w:t>
      </w:r>
    </w:p>
    <w:p w14:paraId="7C034AFE" w14:textId="62729391" w:rsidR="00B83BDF" w:rsidRPr="00B83BDF" w:rsidRDefault="00B83BDF" w:rsidP="00B83BDF">
      <w:pPr>
        <w:spacing w:line="480" w:lineRule="auto"/>
        <w:ind w:firstLine="720"/>
        <w:jc w:val="both"/>
      </w:pPr>
      <w:r>
        <w:t xml:space="preserve">One of the major objectives of the report is to </w:t>
      </w:r>
      <w:r w:rsidRPr="00B83BDF">
        <w:t xml:space="preserve">analyse the differences in survey measures by demographic groups using One-Way Analysis of Variance (ANOVA). </w:t>
      </w:r>
      <w:r>
        <w:t xml:space="preserve">Based on the </w:t>
      </w:r>
      <w:r w:rsidRPr="00B83BDF">
        <w:t xml:space="preserve">ANOVA </w:t>
      </w:r>
      <w:r>
        <w:t xml:space="preserve">which tends to be one of the most </w:t>
      </w:r>
      <w:r w:rsidRPr="00B83BDF">
        <w:t xml:space="preserve">powerful statistical </w:t>
      </w:r>
      <w:r w:rsidRPr="00B83BDF">
        <w:t>tools</w:t>
      </w:r>
      <w:r w:rsidRPr="00B83BDF">
        <w:t xml:space="preserve"> used to compare the means of three or more independent groups to determine whether any significant differences exist between them</w:t>
      </w:r>
      <w:r w:rsidR="001D604F">
        <w:t xml:space="preserve"> (</w:t>
      </w:r>
      <w:proofErr w:type="spellStart"/>
      <w:r w:rsidR="001D604F" w:rsidRPr="001D604F">
        <w:rPr>
          <w:color w:val="000000"/>
        </w:rPr>
        <w:t>Ashikali</w:t>
      </w:r>
      <w:proofErr w:type="spellEnd"/>
      <w:r w:rsidR="001D604F" w:rsidRPr="001D604F">
        <w:rPr>
          <w:color w:val="000000"/>
        </w:rPr>
        <w:t>, T., &amp; Groeneveld, S.</w:t>
      </w:r>
      <w:r w:rsidR="001D604F">
        <w:rPr>
          <w:color w:val="000000"/>
        </w:rPr>
        <w:t xml:space="preserve">, </w:t>
      </w:r>
      <w:r w:rsidR="001D604F" w:rsidRPr="001D604F">
        <w:rPr>
          <w:color w:val="000000"/>
        </w:rPr>
        <w:t>2015</w:t>
      </w:r>
      <w:r w:rsidR="001D604F">
        <w:t>)</w:t>
      </w:r>
      <w:r w:rsidRPr="00B83BDF">
        <w:t xml:space="preserve">. </w:t>
      </w:r>
      <w:r>
        <w:t xml:space="preserve">In accordance with the </w:t>
      </w:r>
      <w:r w:rsidRPr="00B83BDF">
        <w:t xml:space="preserve">assignment </w:t>
      </w:r>
      <w:r>
        <w:t xml:space="preserve">which </w:t>
      </w:r>
      <w:r w:rsidRPr="00B83BDF">
        <w:t>focuses on testing whether demographic factors, other than gender, influence the survey measures, and aims to assess the implications of these findings in a business context.</w:t>
      </w:r>
      <w:r>
        <w:t xml:space="preserve"> According to the report which tends to comprise of </w:t>
      </w:r>
      <w:r w:rsidRPr="00B83BDF">
        <w:t>three separate ANOVAs will be performed to test the null hypothesis that there is no difference in survey measures by demographic</w:t>
      </w:r>
      <w:r w:rsidR="001D604F">
        <w:t xml:space="preserve"> (</w:t>
      </w:r>
      <w:r w:rsidR="001D604F" w:rsidRPr="001D604F">
        <w:rPr>
          <w:color w:val="000000"/>
        </w:rPr>
        <w:t>Trochmann, M., Stewart, K., &amp; Ragusa, J.</w:t>
      </w:r>
      <w:r w:rsidR="001D604F">
        <w:rPr>
          <w:color w:val="000000"/>
        </w:rPr>
        <w:t xml:space="preserve">, </w:t>
      </w:r>
      <w:r w:rsidR="001D604F" w:rsidRPr="001D604F">
        <w:rPr>
          <w:color w:val="000000"/>
        </w:rPr>
        <w:t>2023</w:t>
      </w:r>
      <w:r w:rsidR="001D604F">
        <w:t>)</w:t>
      </w:r>
      <w:r w:rsidRPr="00B83BDF">
        <w:t xml:space="preserve">. </w:t>
      </w:r>
      <w:r>
        <w:t xml:space="preserve">However, on the basis of that the </w:t>
      </w:r>
      <w:r w:rsidRPr="00B83BDF">
        <w:t>alternative hypothesis posits that there are significant differences in survey responses based on demographic factors</w:t>
      </w:r>
      <w:r>
        <w:t xml:space="preserve"> and b</w:t>
      </w:r>
      <w:r w:rsidRPr="00B83BDF">
        <w:t>y conducting the ANOVA tests at a 0.05 significance level, the analysis will help determine whether the variations observed in the survey measures are statistically significant</w:t>
      </w:r>
      <w:r w:rsidR="001D604F">
        <w:t xml:space="preserve"> (</w:t>
      </w:r>
      <w:r w:rsidR="001D604F" w:rsidRPr="001D604F">
        <w:rPr>
          <w:color w:val="000000"/>
        </w:rPr>
        <w:t>Dover, T. L., Kaiser, C. R., &amp; Major, B.</w:t>
      </w:r>
      <w:r w:rsidR="001D604F">
        <w:rPr>
          <w:color w:val="000000"/>
        </w:rPr>
        <w:t xml:space="preserve">, </w:t>
      </w:r>
      <w:r w:rsidR="001D604F" w:rsidRPr="001D604F">
        <w:rPr>
          <w:color w:val="000000"/>
        </w:rPr>
        <w:t>2020</w:t>
      </w:r>
      <w:r w:rsidR="001D604F">
        <w:t>)</w:t>
      </w:r>
      <w:r w:rsidRPr="00B83BDF">
        <w:t>.</w:t>
      </w:r>
    </w:p>
    <w:p w14:paraId="2560E43E" w14:textId="41556090" w:rsidR="00B83BDF" w:rsidRPr="00B83BDF" w:rsidRDefault="00B83BDF" w:rsidP="00B83BDF">
      <w:pPr>
        <w:spacing w:line="480" w:lineRule="auto"/>
        <w:ind w:firstLine="720"/>
        <w:jc w:val="both"/>
      </w:pPr>
      <w:r>
        <w:t xml:space="preserve">Nevertheless, it also tends to comprise of </w:t>
      </w:r>
      <w:r w:rsidRPr="00B83BDF">
        <w:t>implications of the results for management</w:t>
      </w:r>
      <w:r>
        <w:t xml:space="preserve"> </w:t>
      </w:r>
      <w:r w:rsidRPr="00B83BDF">
        <w:t>providing insights into how demographic factors could impact business decisions and workplace practices</w:t>
      </w:r>
      <w:r>
        <w:t xml:space="preserve"> and on the basis of that the </w:t>
      </w:r>
      <w:r w:rsidRPr="00B83BDF">
        <w:t>findings will be linked to industry research, with particular attention to studies that explore the connection between demographic characteristics and survey responses</w:t>
      </w:r>
      <w:r w:rsidR="001D604F">
        <w:t xml:space="preserve"> (</w:t>
      </w:r>
      <w:proofErr w:type="spellStart"/>
      <w:r w:rsidR="001D604F" w:rsidRPr="001D604F">
        <w:rPr>
          <w:color w:val="000000"/>
        </w:rPr>
        <w:t>Chordiya</w:t>
      </w:r>
      <w:proofErr w:type="spellEnd"/>
      <w:r w:rsidR="001D604F" w:rsidRPr="001D604F">
        <w:rPr>
          <w:color w:val="000000"/>
        </w:rPr>
        <w:t>, R.</w:t>
      </w:r>
      <w:r w:rsidR="001D604F">
        <w:rPr>
          <w:color w:val="000000"/>
        </w:rPr>
        <w:t xml:space="preserve">, </w:t>
      </w:r>
      <w:r w:rsidR="001D604F" w:rsidRPr="001D604F">
        <w:rPr>
          <w:color w:val="000000"/>
        </w:rPr>
        <w:t>2019</w:t>
      </w:r>
      <w:r w:rsidR="001D604F">
        <w:t>)</w:t>
      </w:r>
      <w:r w:rsidRPr="00B83BDF">
        <w:t xml:space="preserve">. </w:t>
      </w:r>
    </w:p>
    <w:p w14:paraId="5A87A4D5" w14:textId="6B932DF3" w:rsidR="00595B65" w:rsidRPr="00B83BDF" w:rsidRDefault="00595B65" w:rsidP="00595B65">
      <w:pPr>
        <w:spacing w:line="480" w:lineRule="auto"/>
        <w:ind w:firstLine="720"/>
      </w:pPr>
    </w:p>
    <w:p w14:paraId="1F18C3DB" w14:textId="77777777" w:rsidR="00E5427F" w:rsidRPr="00454CAF" w:rsidRDefault="00E5427F" w:rsidP="00E5427F">
      <w:pPr>
        <w:spacing w:line="48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ANOVA 1</w:t>
      </w:r>
    </w:p>
    <w:p w14:paraId="14C99C81" w14:textId="63CAEF1C" w:rsidR="00E5427F" w:rsidRPr="009847D8" w:rsidRDefault="00E5427F" w:rsidP="009847D8">
      <w:pPr>
        <w:spacing w:line="480" w:lineRule="auto"/>
        <w:ind w:firstLine="720"/>
        <w:rPr>
          <w:rFonts w:eastAsia="Calibri"/>
        </w:rPr>
      </w:pPr>
      <w:bookmarkStart w:id="0" w:name="_Hlk73365923"/>
    </w:p>
    <w:p w14:paraId="29F61718" w14:textId="3CF779D4" w:rsidR="009847D8" w:rsidRDefault="009847D8" w:rsidP="009847D8">
      <w:pPr>
        <w:spacing w:line="480" w:lineRule="auto"/>
        <w:ind w:firstLine="720"/>
        <w:jc w:val="center"/>
        <w:rPr>
          <w:rFonts w:eastAsia="Calibri"/>
        </w:rPr>
      </w:pPr>
      <w:r>
        <w:rPr>
          <w:noProof/>
        </w:rPr>
        <w:lastRenderedPageBreak/>
        <w:drawing>
          <wp:inline distT="0" distB="0" distL="0" distR="0" wp14:anchorId="7D099127" wp14:editId="73128EE2">
            <wp:extent cx="4572000" cy="2743200"/>
            <wp:effectExtent l="0" t="0" r="0" b="0"/>
            <wp:docPr id="5277077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16EC607-FE73-DF4C-E484-C4484C270E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0C86F2A" w14:textId="557A27BF" w:rsidR="009847D8" w:rsidRDefault="009847D8" w:rsidP="009847D8">
      <w:pPr>
        <w:spacing w:line="480" w:lineRule="auto"/>
        <w:rPr>
          <w:rFonts w:eastAsia="Calibri"/>
        </w:rPr>
      </w:pPr>
      <w:r>
        <w:rPr>
          <w:rFonts w:eastAsia="Calibri"/>
        </w:rPr>
        <w:t xml:space="preserve">Figure 1: pivot chart between age and department </w:t>
      </w:r>
    </w:p>
    <w:p w14:paraId="0887B773" w14:textId="7149A93E" w:rsidR="009847D8" w:rsidRDefault="009847D8" w:rsidP="009847D8">
      <w:pPr>
        <w:spacing w:line="480" w:lineRule="auto"/>
        <w:rPr>
          <w:rFonts w:eastAsia="Calibri"/>
        </w:rPr>
      </w:pPr>
      <w:r>
        <w:rPr>
          <w:rFonts w:eastAsia="Calibri"/>
        </w:rPr>
        <w:tab/>
        <w:t>According to t</w:t>
      </w:r>
      <w:r w:rsidRPr="009847D8">
        <w:rPr>
          <w:rFonts w:eastAsia="Calibri"/>
        </w:rPr>
        <w:t xml:space="preserve">hese </w:t>
      </w:r>
      <w:r w:rsidRPr="009847D8">
        <w:rPr>
          <w:rFonts w:eastAsia="Calibri"/>
        </w:rPr>
        <w:t>findings,</w:t>
      </w:r>
      <w:r w:rsidRPr="009847D8">
        <w:rPr>
          <w:rFonts w:eastAsia="Calibri"/>
        </w:rPr>
        <w:t xml:space="preserve"> </w:t>
      </w:r>
      <w:r>
        <w:rPr>
          <w:rFonts w:eastAsia="Calibri"/>
        </w:rPr>
        <w:t xml:space="preserve">which tends to be very </w:t>
      </w:r>
      <w:r w:rsidRPr="009847D8">
        <w:rPr>
          <w:rFonts w:eastAsia="Calibri"/>
        </w:rPr>
        <w:t>crucial for understanding how demographic differences, such as age and departmental affiliation, may influence survey responses.</w:t>
      </w:r>
    </w:p>
    <w:p w14:paraId="2CD28494" w14:textId="63151B1A" w:rsidR="009847D8" w:rsidRDefault="009847D8" w:rsidP="009847D8">
      <w:pPr>
        <w:spacing w:line="480" w:lineRule="auto"/>
        <w:ind w:left="720"/>
        <w:rPr>
          <w:rFonts w:eastAsia="Calibri"/>
        </w:rPr>
      </w:pPr>
      <w:r w:rsidRPr="009847D8">
        <w:rPr>
          <w:rFonts w:eastAsia="Calibri"/>
        </w:rPr>
        <w:t xml:space="preserve">(Null Hypothesis) H0: There is no difference in </w:t>
      </w:r>
      <w:r>
        <w:rPr>
          <w:rFonts w:eastAsia="Calibri"/>
        </w:rPr>
        <w:t xml:space="preserve">age and department </w:t>
      </w:r>
      <w:r w:rsidRPr="009847D8">
        <w:rPr>
          <w:rFonts w:eastAsia="Calibri"/>
        </w:rPr>
        <w:t>Survey Measure by Demographic.</w:t>
      </w:r>
      <w:r w:rsidRPr="009847D8">
        <w:rPr>
          <w:rFonts w:eastAsia="Calibri"/>
        </w:rPr>
        <w:br/>
        <w:t>(Alternate Hypothesis) H1: There is a difference in</w:t>
      </w:r>
      <w:r>
        <w:rPr>
          <w:rFonts w:eastAsia="Calibri"/>
        </w:rPr>
        <w:t xml:space="preserve"> </w:t>
      </w:r>
      <w:r>
        <w:rPr>
          <w:rFonts w:eastAsia="Calibri"/>
        </w:rPr>
        <w:t>age and department</w:t>
      </w:r>
      <w:r w:rsidRPr="009847D8">
        <w:rPr>
          <w:rFonts w:eastAsia="Calibri"/>
        </w:rPr>
        <w:t xml:space="preserve"> Survey Measure by Demographic.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67"/>
        <w:gridCol w:w="1380"/>
        <w:gridCol w:w="627"/>
        <w:gridCol w:w="1381"/>
        <w:gridCol w:w="1381"/>
        <w:gridCol w:w="1359"/>
        <w:gridCol w:w="1381"/>
      </w:tblGrid>
      <w:tr w:rsidR="009847D8" w14:paraId="07DDC5C2" w14:textId="77777777" w:rsidTr="009847D8">
        <w:trPr>
          <w:trHeight w:val="255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C971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Anova: Single Factor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A069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A401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7543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35FA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78DC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5CDF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47D8" w14:paraId="4AFDC903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68C9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C189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686E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1E9F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B1B8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D8B4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4AB5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47D8" w14:paraId="6ED66106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47F8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SUMMARY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9A56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9349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1A49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0FEC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D3C9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9405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47D8" w14:paraId="2CB57002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21E2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Groups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BAF0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Count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48E1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Sum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A25A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Average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1C87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Variance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4BF8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5CB5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47D8" w14:paraId="6DCF44BF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D7EA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0806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83C2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5815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2.037593985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0238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0.821222868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05D2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1D4A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47D8" w14:paraId="7A5DD710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3B50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4382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84BA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BDBE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1.751879699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0AB3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0.406128529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455A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5CBF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47D8" w14:paraId="2131108B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6C2E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2C26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AF5B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1226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F859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3F2E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A12D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47D8" w14:paraId="4760330D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6C20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FA57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B90B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A1E1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0823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E08F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B07B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47D8" w14:paraId="6F57D974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67CB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ANOVA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AA11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276A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F429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9CE3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A20E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DB03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47D8" w14:paraId="34B605EF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2F67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Source of Variation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4A6D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SS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006E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44B8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MS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08A2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F4C4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A260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 crit</w:t>
            </w:r>
          </w:p>
        </w:tc>
      </w:tr>
      <w:tr w:rsidR="009847D8" w14:paraId="67222C15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7020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Between Groups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4E59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10.8571428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7430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36B1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10.8571428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1BA9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17.6919876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09E0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3.04945E-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05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83EE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3.85906393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</w:tr>
      <w:tr w:rsidR="009847D8" w14:paraId="7EA4A78F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0DC1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Within Groups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5CB5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325.2481203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8369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566C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0.613675699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29B3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A844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3CA6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47D8" w14:paraId="3A8C209B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1183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8C1C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C684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A693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091B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1106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E036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47D8" w14:paraId="151872D3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9B7F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3207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336.1052632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F6AE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5DA1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E352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A7F6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8D24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5B44DE6" w14:textId="14248EE3" w:rsidR="009847D8" w:rsidRDefault="009847D8" w:rsidP="009847D8">
      <w:pPr>
        <w:spacing w:line="480" w:lineRule="auto"/>
        <w:rPr>
          <w:rFonts w:eastAsia="Calibri"/>
        </w:rPr>
      </w:pPr>
      <w:r>
        <w:rPr>
          <w:rFonts w:eastAsia="Calibri"/>
        </w:rPr>
        <w:t xml:space="preserve">Table 1: Annova analysis between age and department </w:t>
      </w:r>
    </w:p>
    <w:p w14:paraId="2CDC65B2" w14:textId="0BAAA7C0" w:rsidR="009847D8" w:rsidRDefault="009847D8" w:rsidP="009847D8">
      <w:pPr>
        <w:spacing w:line="480" w:lineRule="auto"/>
        <w:jc w:val="both"/>
        <w:rPr>
          <w:rFonts w:eastAsia="Calibri"/>
        </w:rPr>
      </w:pPr>
      <w:r>
        <w:rPr>
          <w:rFonts w:eastAsia="Calibri"/>
        </w:rPr>
        <w:tab/>
        <w:t xml:space="preserve">Based on </w:t>
      </w:r>
      <w:r w:rsidRPr="009847D8">
        <w:rPr>
          <w:rFonts w:eastAsia="Calibri"/>
        </w:rPr>
        <w:t xml:space="preserve">the p-value </w:t>
      </w:r>
      <w:r>
        <w:rPr>
          <w:rFonts w:eastAsia="Calibri"/>
        </w:rPr>
        <w:t xml:space="preserve">which tends to be </w:t>
      </w:r>
      <w:r w:rsidRPr="009847D8">
        <w:rPr>
          <w:rFonts w:eastAsia="Calibri"/>
        </w:rPr>
        <w:t>smaller than 0.05, we reject the null hypothesis (H0), which posits no difference between the groups</w:t>
      </w:r>
      <w:r>
        <w:rPr>
          <w:rFonts w:eastAsia="Calibri"/>
        </w:rPr>
        <w:t xml:space="preserve"> and on the basis of that the </w:t>
      </w:r>
      <w:r w:rsidRPr="009847D8">
        <w:rPr>
          <w:rFonts w:eastAsia="Calibri"/>
        </w:rPr>
        <w:t>alternative hypothesis (H1), suggesting a difference between the groups, is therefore accepted</w:t>
      </w:r>
      <w:r>
        <w:rPr>
          <w:rFonts w:eastAsia="Calibri"/>
        </w:rPr>
        <w:t xml:space="preserve"> and t</w:t>
      </w:r>
      <w:r w:rsidRPr="009847D8">
        <w:rPr>
          <w:rFonts w:eastAsia="Calibri"/>
        </w:rPr>
        <w:t>his implies that there is a statistically significant difference in survey measures between the two groups (Age and Department).</w:t>
      </w:r>
    </w:p>
    <w:p w14:paraId="710F1502" w14:textId="2EBF134E" w:rsidR="00C214C9" w:rsidRDefault="00C214C9" w:rsidP="009847D8">
      <w:pPr>
        <w:spacing w:line="480" w:lineRule="auto"/>
        <w:jc w:val="both"/>
        <w:rPr>
          <w:rFonts w:eastAsia="Calibri"/>
        </w:rPr>
      </w:pPr>
      <w:r>
        <w:rPr>
          <w:rFonts w:eastAsia="Calibri"/>
        </w:rPr>
        <w:tab/>
        <w:t>As per the various r</w:t>
      </w:r>
      <w:r w:rsidRPr="00C214C9">
        <w:rPr>
          <w:rFonts w:eastAsia="Calibri"/>
        </w:rPr>
        <w:t xml:space="preserve">esearch </w:t>
      </w:r>
      <w:r>
        <w:rPr>
          <w:rFonts w:eastAsia="Calibri"/>
        </w:rPr>
        <w:t xml:space="preserve">tends to </w:t>
      </w:r>
      <w:r w:rsidR="001D604F" w:rsidRPr="00C214C9">
        <w:rPr>
          <w:rFonts w:eastAsia="Calibri"/>
        </w:rPr>
        <w:t>indicate</w:t>
      </w:r>
      <w:r w:rsidRPr="00C214C9">
        <w:rPr>
          <w:rFonts w:eastAsia="Calibri"/>
        </w:rPr>
        <w:t xml:space="preserve"> that employee engagement varies across different age groups</w:t>
      </w:r>
      <w:r>
        <w:rPr>
          <w:rFonts w:eastAsia="Calibri"/>
        </w:rPr>
        <w:t xml:space="preserve"> and also </w:t>
      </w:r>
      <w:r w:rsidRPr="00C214C9">
        <w:rPr>
          <w:rFonts w:eastAsia="Calibri"/>
        </w:rPr>
        <w:t>study by Douglas and Roberts (2020) found that age influences work engagement, with younger employees exhibiting different engagement levels compared to their older counterparts</w:t>
      </w:r>
      <w:r>
        <w:rPr>
          <w:rFonts w:eastAsia="Calibri"/>
        </w:rPr>
        <w:t xml:space="preserve"> and t</w:t>
      </w:r>
      <w:r w:rsidRPr="00C214C9">
        <w:rPr>
          <w:rFonts w:eastAsia="Calibri"/>
        </w:rPr>
        <w:t>his variation suggests that management should develop age-specific engagement strategies to address the unique needs and motivations of each demographic segment</w:t>
      </w:r>
      <w:r w:rsidR="001D604F">
        <w:rPr>
          <w:rFonts w:eastAsia="Calibri"/>
        </w:rPr>
        <w:t xml:space="preserve"> (</w:t>
      </w:r>
      <w:r w:rsidR="001D604F" w:rsidRPr="001D604F">
        <w:rPr>
          <w:color w:val="000000"/>
        </w:rPr>
        <w:t>Brimhall, K. C., Lizano, E. L., &amp; Barak, M. E. M.</w:t>
      </w:r>
      <w:r w:rsidR="001D604F">
        <w:rPr>
          <w:color w:val="000000"/>
        </w:rPr>
        <w:t xml:space="preserve">, </w:t>
      </w:r>
      <w:r w:rsidR="001D604F" w:rsidRPr="001D604F">
        <w:rPr>
          <w:color w:val="000000"/>
        </w:rPr>
        <w:t>2014</w:t>
      </w:r>
      <w:r w:rsidR="001D604F">
        <w:rPr>
          <w:rFonts w:eastAsia="Calibri"/>
        </w:rPr>
        <w:t>)</w:t>
      </w:r>
      <w:r w:rsidRPr="00C214C9">
        <w:rPr>
          <w:rFonts w:eastAsia="Calibri"/>
        </w:rPr>
        <w:t>. ​</w:t>
      </w:r>
    </w:p>
    <w:p w14:paraId="2A53DD7E" w14:textId="373D950B" w:rsidR="00C214C9" w:rsidRPr="00C214C9" w:rsidRDefault="00C214C9" w:rsidP="00C214C9">
      <w:pPr>
        <w:spacing w:line="480" w:lineRule="auto"/>
        <w:jc w:val="both"/>
        <w:rPr>
          <w:rFonts w:eastAsia="Calibri"/>
        </w:rPr>
      </w:pPr>
      <w:r>
        <w:rPr>
          <w:rFonts w:eastAsia="Calibri"/>
        </w:rPr>
        <w:tab/>
        <w:t>Based on the i</w:t>
      </w:r>
      <w:r w:rsidRPr="00C214C9">
        <w:rPr>
          <w:rFonts w:eastAsia="Calibri"/>
        </w:rPr>
        <w:t>ntegrating demographic insights into workplace practices aligns with industry trends emphasizing personalized employee experiences</w:t>
      </w:r>
      <w:r>
        <w:rPr>
          <w:rFonts w:eastAsia="Calibri"/>
        </w:rPr>
        <w:t xml:space="preserve"> such as </w:t>
      </w:r>
      <w:r w:rsidRPr="00C214C9">
        <w:rPr>
          <w:rFonts w:eastAsia="Calibri"/>
        </w:rPr>
        <w:t>IBISWorld highlights the importance of understanding demographic factors in shaping industry-specific strategies</w:t>
      </w:r>
      <w:r>
        <w:rPr>
          <w:rFonts w:eastAsia="Calibri"/>
        </w:rPr>
        <w:t xml:space="preserve"> and b</w:t>
      </w:r>
      <w:r w:rsidRPr="00C214C9">
        <w:rPr>
          <w:rFonts w:eastAsia="Calibri"/>
        </w:rPr>
        <w:t>y leveraging demographic data, organizations can optimize their human resource practices, enhance training programs, and improve overall organizational performance. ​</w:t>
      </w:r>
    </w:p>
    <w:p w14:paraId="101BD871" w14:textId="6E65019D" w:rsidR="00C214C9" w:rsidRPr="00E5427F" w:rsidRDefault="00C214C9" w:rsidP="009847D8">
      <w:pPr>
        <w:spacing w:line="480" w:lineRule="auto"/>
        <w:jc w:val="both"/>
        <w:rPr>
          <w:rFonts w:eastAsia="Calibri"/>
        </w:rPr>
      </w:pPr>
    </w:p>
    <w:bookmarkEnd w:id="0"/>
    <w:p w14:paraId="1585C01B" w14:textId="6E4E28D9" w:rsidR="00E5427F" w:rsidRPr="00454CAF" w:rsidRDefault="00E5427F" w:rsidP="00E5427F">
      <w:pPr>
        <w:spacing w:line="48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ANOVA 2</w:t>
      </w:r>
    </w:p>
    <w:p w14:paraId="7759160A" w14:textId="70BA2B14" w:rsidR="009847D8" w:rsidRDefault="009847D8" w:rsidP="009847D8">
      <w:pPr>
        <w:spacing w:line="480" w:lineRule="auto"/>
        <w:ind w:firstLine="720"/>
        <w:jc w:val="center"/>
        <w:rPr>
          <w:rFonts w:eastAsia="Calibri"/>
        </w:rPr>
      </w:pPr>
      <w:r>
        <w:rPr>
          <w:noProof/>
        </w:rPr>
        <w:lastRenderedPageBreak/>
        <w:drawing>
          <wp:inline distT="0" distB="0" distL="0" distR="0" wp14:anchorId="3113A117" wp14:editId="41A1BCBA">
            <wp:extent cx="4572000" cy="2190750"/>
            <wp:effectExtent l="0" t="0" r="0" b="0"/>
            <wp:docPr id="208186872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C092E6-EF7C-BC1F-29A0-35A3226B0F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F7AC24E" w14:textId="0CD54CAC" w:rsidR="009847D8" w:rsidRDefault="00C214C9" w:rsidP="00C214C9">
      <w:pPr>
        <w:spacing w:line="480" w:lineRule="auto"/>
        <w:rPr>
          <w:rFonts w:eastAsia="Calibri"/>
        </w:rPr>
      </w:pPr>
      <w:r>
        <w:rPr>
          <w:rFonts w:eastAsia="Calibri"/>
        </w:rPr>
        <w:tab/>
        <w:t xml:space="preserve">Figure 2: Pivot chart between the department and position </w:t>
      </w:r>
    </w:p>
    <w:p w14:paraId="719C9B69" w14:textId="748AE440" w:rsidR="009847D8" w:rsidRDefault="007668DC" w:rsidP="007668DC">
      <w:pPr>
        <w:spacing w:line="480" w:lineRule="auto"/>
        <w:ind w:firstLine="720"/>
        <w:rPr>
          <w:rFonts w:eastAsia="Calibri"/>
        </w:rPr>
      </w:pPr>
      <w:r>
        <w:rPr>
          <w:rFonts w:eastAsia="Calibri"/>
        </w:rPr>
        <w:t xml:space="preserve">According to the </w:t>
      </w:r>
      <w:r w:rsidRPr="007668DC">
        <w:rPr>
          <w:rFonts w:eastAsia="Calibri"/>
        </w:rPr>
        <w:t>results of the second ANOVA</w:t>
      </w:r>
      <w:r>
        <w:rPr>
          <w:rFonts w:eastAsia="Calibri"/>
        </w:rPr>
        <w:t>,</w:t>
      </w:r>
      <w:r w:rsidRPr="007668DC">
        <w:rPr>
          <w:rFonts w:eastAsia="Calibri"/>
        </w:rPr>
        <w:t xml:space="preserve"> the analysis compares survey measures between the "Department" and "Position" groups.</w:t>
      </w:r>
    </w:p>
    <w:p w14:paraId="188E0158" w14:textId="3294D90D" w:rsidR="009847D8" w:rsidRDefault="009847D8" w:rsidP="009847D8">
      <w:pPr>
        <w:spacing w:line="480" w:lineRule="auto"/>
        <w:ind w:left="720"/>
        <w:rPr>
          <w:rFonts w:eastAsia="Calibri"/>
        </w:rPr>
      </w:pPr>
      <w:r w:rsidRPr="009847D8">
        <w:rPr>
          <w:rFonts w:eastAsia="Calibri"/>
        </w:rPr>
        <w:t xml:space="preserve">(Null Hypothesis) H0: There is no difference in </w:t>
      </w:r>
      <w:r>
        <w:rPr>
          <w:rFonts w:eastAsia="Calibri"/>
        </w:rPr>
        <w:t>department</w:t>
      </w:r>
      <w:r>
        <w:rPr>
          <w:rFonts w:eastAsia="Calibri"/>
        </w:rPr>
        <w:t xml:space="preserve"> and </w:t>
      </w:r>
      <w:r>
        <w:rPr>
          <w:rFonts w:eastAsia="Calibri"/>
        </w:rPr>
        <w:t>position</w:t>
      </w:r>
      <w:r>
        <w:rPr>
          <w:rFonts w:eastAsia="Calibri"/>
        </w:rPr>
        <w:t xml:space="preserve"> </w:t>
      </w:r>
      <w:r w:rsidRPr="009847D8">
        <w:rPr>
          <w:rFonts w:eastAsia="Calibri"/>
        </w:rPr>
        <w:t>Survey Measure by Demographic.</w:t>
      </w:r>
      <w:r w:rsidRPr="009847D8">
        <w:rPr>
          <w:rFonts w:eastAsia="Calibri"/>
        </w:rPr>
        <w:br/>
        <w:t>(Alternate Hypothesis) H1: There is a difference in</w:t>
      </w:r>
      <w:r>
        <w:rPr>
          <w:rFonts w:eastAsia="Calibri"/>
        </w:rPr>
        <w:t xml:space="preserve"> </w:t>
      </w:r>
      <w:r>
        <w:rPr>
          <w:rFonts w:eastAsia="Calibri"/>
        </w:rPr>
        <w:t>department</w:t>
      </w:r>
      <w:r>
        <w:rPr>
          <w:rFonts w:eastAsia="Calibri"/>
        </w:rPr>
        <w:t xml:space="preserve"> and </w:t>
      </w:r>
      <w:r>
        <w:rPr>
          <w:rFonts w:eastAsia="Calibri"/>
        </w:rPr>
        <w:t>position</w:t>
      </w:r>
      <w:r w:rsidRPr="009847D8">
        <w:rPr>
          <w:rFonts w:eastAsia="Calibri"/>
        </w:rPr>
        <w:t xml:space="preserve"> Survey Measure by Demographic.</w:t>
      </w:r>
    </w:p>
    <w:p w14:paraId="6674592D" w14:textId="77777777" w:rsidR="009847D8" w:rsidRDefault="009847D8" w:rsidP="009847D8">
      <w:pPr>
        <w:spacing w:line="480" w:lineRule="auto"/>
        <w:ind w:firstLine="720"/>
        <w:rPr>
          <w:rFonts w:eastAsia="Calibr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67"/>
        <w:gridCol w:w="1380"/>
        <w:gridCol w:w="627"/>
        <w:gridCol w:w="1381"/>
        <w:gridCol w:w="1381"/>
        <w:gridCol w:w="1359"/>
        <w:gridCol w:w="1381"/>
      </w:tblGrid>
      <w:tr w:rsidR="009847D8" w14:paraId="48520D2C" w14:textId="77777777" w:rsidTr="009847D8">
        <w:trPr>
          <w:trHeight w:val="255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2886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Anova: Single Factor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6C1A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0FF6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4D80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E82B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63BB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D9ED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47D8" w14:paraId="1342E342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340B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426A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D418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72AA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A459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B3D6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F9D9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47D8" w14:paraId="23F1B98C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2443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SUMMARY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C42E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E823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4EE0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97C8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942B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1E85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47D8" w14:paraId="1A1B29C7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F2A0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Groups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9188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Count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EB18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Sum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C5A5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Average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212F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Variance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E489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3B27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47D8" w14:paraId="1DBEF445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6C45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56A6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185D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7D94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1.751879699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6FC7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0.406128529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1D68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D8DB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47D8" w14:paraId="4F35E828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C313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8FBC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055A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104E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1.469924812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6C88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0.363243013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8256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EA6B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47D8" w14:paraId="25E35575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25D7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84BE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4C7C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F442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5F31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C520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2CDF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47D8" w14:paraId="3B038925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3974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E9B5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CB67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F1A2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84B5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D7B7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57A8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47D8" w14:paraId="7EFAD096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245D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ANOVA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C80B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3A0A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8EFD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5566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33ED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C6F8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47D8" w14:paraId="7D1AE27F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090B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Source of Variation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E341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SS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22FC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E661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MS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DFFE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FB6D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4AA8" w14:textId="77777777" w:rsidR="009847D8" w:rsidRDefault="009847D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 crit</w:t>
            </w:r>
          </w:p>
        </w:tc>
      </w:tr>
      <w:tr w:rsidR="009847D8" w14:paraId="2B36D403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2FAE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Between Groups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DE54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10.57330827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3E98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0D48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10.57330827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689C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27.48557152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0044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2.28997E-07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F124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3.859063933</w:t>
            </w:r>
          </w:p>
        </w:tc>
      </w:tr>
      <w:tr w:rsidR="009847D8" w14:paraId="5AF0477D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3A26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Within Groups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B372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203.8834586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0F21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426D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0.384685771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167B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4014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1F7A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47D8" w14:paraId="67228344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5AC7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725C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2D1C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3E0C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3903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FC16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A339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47D8" w14:paraId="33723141" w14:textId="77777777" w:rsidTr="009847D8">
        <w:trPr>
          <w:trHeight w:val="255"/>
        </w:trPr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C56F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0539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214.4567669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23A3" w14:textId="77777777" w:rsidR="009847D8" w:rsidRDefault="00984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0C71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1800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A6BE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B2B3" w14:textId="77777777" w:rsidR="009847D8" w:rsidRDefault="00984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1BE9B6E" w14:textId="344B9499" w:rsidR="009847D8" w:rsidRDefault="00C214C9" w:rsidP="00C214C9">
      <w:pPr>
        <w:spacing w:line="480" w:lineRule="auto"/>
        <w:rPr>
          <w:rFonts w:eastAsia="Calibri"/>
        </w:rPr>
      </w:pPr>
      <w:r>
        <w:rPr>
          <w:rFonts w:eastAsia="Calibri"/>
        </w:rPr>
        <w:t xml:space="preserve">Table 2: Annova analysis between department and position </w:t>
      </w:r>
    </w:p>
    <w:p w14:paraId="423E2BB6" w14:textId="0FF1A013" w:rsidR="007668DC" w:rsidRPr="007668DC" w:rsidRDefault="007668DC" w:rsidP="007668DC">
      <w:pPr>
        <w:spacing w:line="480" w:lineRule="auto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Based on the </w:t>
      </w:r>
      <w:r w:rsidRPr="007668DC">
        <w:rPr>
          <w:rFonts w:eastAsia="Calibri"/>
        </w:rPr>
        <w:t xml:space="preserve">extremely small p-value (2.29E-07), we reject the null hypothesis (H0), which suggests there is no difference between the groups. </w:t>
      </w:r>
      <w:r>
        <w:rPr>
          <w:rFonts w:eastAsia="Calibri"/>
        </w:rPr>
        <w:t xml:space="preserve">However, on the basis of </w:t>
      </w:r>
      <w:r w:rsidRPr="007668DC">
        <w:rPr>
          <w:rFonts w:eastAsia="Calibri"/>
        </w:rPr>
        <w:t>alternative hypothesis (H1), which posits that there is a significant difference between the groups, is therefore supported</w:t>
      </w:r>
      <w:r>
        <w:rPr>
          <w:rFonts w:eastAsia="Calibri"/>
        </w:rPr>
        <w:t xml:space="preserve"> and t</w:t>
      </w:r>
      <w:r w:rsidRPr="007668DC">
        <w:rPr>
          <w:rFonts w:eastAsia="Calibri"/>
        </w:rPr>
        <w:t>his means there is a statistically significant difference in survey measures between the "Department" and "Position" groups.</w:t>
      </w:r>
    </w:p>
    <w:p w14:paraId="4028EDAA" w14:textId="7DA741E4" w:rsidR="007668DC" w:rsidRPr="007668DC" w:rsidRDefault="007668DC" w:rsidP="007668DC">
      <w:pPr>
        <w:spacing w:line="480" w:lineRule="auto"/>
        <w:ind w:firstLine="720"/>
        <w:jc w:val="both"/>
        <w:rPr>
          <w:rFonts w:eastAsia="Calibri"/>
        </w:rPr>
      </w:pPr>
      <w:r w:rsidRPr="007668DC">
        <w:rPr>
          <w:rFonts w:eastAsia="Calibri"/>
        </w:rPr>
        <w:t>In accordance with the significant</w:t>
      </w:r>
      <w:r w:rsidRPr="007668DC">
        <w:rPr>
          <w:rFonts w:eastAsia="Calibri"/>
        </w:rPr>
        <w:t xml:space="preserve"> difference between the "Department" group and the "Position" group suggests that employees in different departments or holding different positions may have differing survey responses</w:t>
      </w:r>
      <w:r>
        <w:rPr>
          <w:rFonts w:eastAsia="Calibri"/>
        </w:rPr>
        <w:t xml:space="preserve"> and on the basis of that the m</w:t>
      </w:r>
      <w:r w:rsidRPr="007668DC">
        <w:rPr>
          <w:rFonts w:eastAsia="Calibri"/>
        </w:rPr>
        <w:t>anagement can leverage this data to better understand department-specific needs and position-based factors that affect employee perceptions.</w:t>
      </w:r>
      <w:r>
        <w:rPr>
          <w:rFonts w:eastAsia="Calibri"/>
        </w:rPr>
        <w:t xml:space="preserve"> According to </w:t>
      </w:r>
      <w:r w:rsidRPr="007668DC">
        <w:rPr>
          <w:rFonts w:eastAsia="Calibri"/>
        </w:rPr>
        <w:t>these findings, management can design tailored strategies for each department and position to improve employee engagement, satisfaction, and performance.</w:t>
      </w:r>
    </w:p>
    <w:p w14:paraId="70A01B08" w14:textId="77777777" w:rsidR="007668DC" w:rsidRDefault="007668DC" w:rsidP="00C214C9">
      <w:pPr>
        <w:spacing w:line="480" w:lineRule="auto"/>
        <w:rPr>
          <w:rFonts w:eastAsia="Calibri"/>
        </w:rPr>
      </w:pPr>
    </w:p>
    <w:p w14:paraId="61C8EF4A" w14:textId="568F78F3" w:rsidR="00E5427F" w:rsidRPr="00454CAF" w:rsidRDefault="00E5427F" w:rsidP="00E5427F">
      <w:pPr>
        <w:spacing w:line="48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ANOVA </w:t>
      </w:r>
      <w:r w:rsidR="009847D8">
        <w:rPr>
          <w:rFonts w:eastAsia="Calibri"/>
          <w:b/>
          <w:bCs/>
        </w:rPr>
        <w:t>3</w:t>
      </w:r>
    </w:p>
    <w:p w14:paraId="316FC339" w14:textId="69F8DE24" w:rsidR="00E5427F" w:rsidRDefault="009847D8" w:rsidP="009847D8">
      <w:pPr>
        <w:spacing w:line="480" w:lineRule="auto"/>
        <w:ind w:firstLine="720"/>
        <w:jc w:val="center"/>
        <w:rPr>
          <w:rFonts w:eastAsia="Calibri"/>
        </w:rPr>
      </w:pPr>
      <w:r>
        <w:rPr>
          <w:noProof/>
        </w:rPr>
        <w:lastRenderedPageBreak/>
        <w:drawing>
          <wp:inline distT="0" distB="0" distL="0" distR="0" wp14:anchorId="0B6F0271" wp14:editId="3CBD6A17">
            <wp:extent cx="4572000" cy="2743200"/>
            <wp:effectExtent l="0" t="0" r="0" b="0"/>
            <wp:docPr id="69703760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A148211-6926-CD4C-57E8-CFBDA346C1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F282E8F" w14:textId="592CDD63" w:rsidR="009847D8" w:rsidRDefault="00C214C9" w:rsidP="00C214C9">
      <w:pPr>
        <w:spacing w:line="480" w:lineRule="auto"/>
        <w:ind w:firstLine="720"/>
        <w:rPr>
          <w:rFonts w:eastAsia="Calibri"/>
        </w:rPr>
      </w:pPr>
      <w:r>
        <w:rPr>
          <w:rFonts w:eastAsia="Calibri"/>
        </w:rPr>
        <w:t>Figure 3: pivot chart between position and tenure</w:t>
      </w:r>
    </w:p>
    <w:p w14:paraId="1CBF59CB" w14:textId="1E120BA9" w:rsidR="007668DC" w:rsidRDefault="001D604F" w:rsidP="00C214C9">
      <w:pPr>
        <w:spacing w:line="480" w:lineRule="auto"/>
        <w:ind w:firstLine="720"/>
        <w:rPr>
          <w:rFonts w:eastAsia="Calibri"/>
        </w:rPr>
      </w:pPr>
      <w:r>
        <w:rPr>
          <w:rFonts w:eastAsia="Calibri"/>
        </w:rPr>
        <w:t xml:space="preserve">According to the </w:t>
      </w:r>
      <w:r w:rsidRPr="001D604F">
        <w:rPr>
          <w:rFonts w:eastAsia="Calibri"/>
        </w:rPr>
        <w:t>results of the third ANOVA test presented, the analysis compares survey measures between the "Position" and "Tenure" groups.</w:t>
      </w:r>
    </w:p>
    <w:p w14:paraId="7726C3FB" w14:textId="15324F2C" w:rsidR="009847D8" w:rsidRDefault="009847D8" w:rsidP="009847D8">
      <w:pPr>
        <w:spacing w:line="480" w:lineRule="auto"/>
        <w:ind w:left="720"/>
        <w:rPr>
          <w:rFonts w:eastAsia="Calibri"/>
        </w:rPr>
      </w:pPr>
      <w:r w:rsidRPr="009847D8">
        <w:rPr>
          <w:rFonts w:eastAsia="Calibri"/>
        </w:rPr>
        <w:t xml:space="preserve">(Null Hypothesis) H0: There is no difference in </w:t>
      </w:r>
      <w:r>
        <w:rPr>
          <w:rFonts w:eastAsia="Calibri"/>
        </w:rPr>
        <w:t>position</w:t>
      </w:r>
      <w:r w:rsidR="00C214C9">
        <w:rPr>
          <w:rFonts w:eastAsia="Calibri"/>
        </w:rPr>
        <w:t xml:space="preserve"> and tenure</w:t>
      </w:r>
      <w:r>
        <w:rPr>
          <w:rFonts w:eastAsia="Calibri"/>
        </w:rPr>
        <w:t xml:space="preserve"> </w:t>
      </w:r>
      <w:r w:rsidRPr="009847D8">
        <w:rPr>
          <w:rFonts w:eastAsia="Calibri"/>
        </w:rPr>
        <w:t>Survey Measure by Demographic.</w:t>
      </w:r>
      <w:r w:rsidRPr="009847D8">
        <w:rPr>
          <w:rFonts w:eastAsia="Calibri"/>
        </w:rPr>
        <w:br/>
        <w:t>(Alternate Hypothesis) H1: There is a difference in</w:t>
      </w:r>
      <w:r>
        <w:rPr>
          <w:rFonts w:eastAsia="Calibri"/>
        </w:rPr>
        <w:t xml:space="preserve"> position</w:t>
      </w:r>
      <w:r w:rsidR="00C214C9">
        <w:rPr>
          <w:rFonts w:eastAsia="Calibri"/>
        </w:rPr>
        <w:t xml:space="preserve"> and tenure</w:t>
      </w:r>
      <w:r w:rsidRPr="009847D8">
        <w:rPr>
          <w:rFonts w:eastAsia="Calibri"/>
        </w:rPr>
        <w:t xml:space="preserve"> Survey Measure by Demographic.</w:t>
      </w:r>
    </w:p>
    <w:p w14:paraId="56287561" w14:textId="77777777" w:rsidR="009847D8" w:rsidRDefault="009847D8" w:rsidP="009847D8">
      <w:pPr>
        <w:spacing w:line="480" w:lineRule="auto"/>
        <w:ind w:firstLine="720"/>
        <w:rPr>
          <w:rFonts w:eastAsia="Calibri"/>
        </w:rPr>
      </w:pPr>
    </w:p>
    <w:tbl>
      <w:tblPr>
        <w:tblW w:w="8860" w:type="dxa"/>
        <w:tblInd w:w="113" w:type="dxa"/>
        <w:tblLook w:val="04A0" w:firstRow="1" w:lastRow="0" w:firstColumn="1" w:lastColumn="0" w:noHBand="0" w:noVBand="1"/>
      </w:tblPr>
      <w:tblGrid>
        <w:gridCol w:w="1940"/>
        <w:gridCol w:w="1384"/>
        <w:gridCol w:w="628"/>
        <w:gridCol w:w="1384"/>
        <w:gridCol w:w="1384"/>
        <w:gridCol w:w="1300"/>
        <w:gridCol w:w="1384"/>
      </w:tblGrid>
      <w:tr w:rsidR="00C214C9" w14:paraId="696DA5F7" w14:textId="77777777" w:rsidTr="00C214C9">
        <w:trPr>
          <w:trHeight w:val="25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CA77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Anova: Single Factor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29B9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66A9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5409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B3CF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0488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CAD1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14C9" w14:paraId="040D56FB" w14:textId="77777777" w:rsidTr="00C214C9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E041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EA31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25B5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444E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3CF9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1817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F91B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14C9" w14:paraId="32DADABB" w14:textId="77777777" w:rsidTr="00C214C9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8A51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0292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56E8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E124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FA45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FAE3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BDCA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14C9" w14:paraId="07058057" w14:textId="77777777" w:rsidTr="00C214C9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0470" w14:textId="77777777" w:rsidR="00C214C9" w:rsidRDefault="00C214C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Groups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019F" w14:textId="77777777" w:rsidR="00C214C9" w:rsidRDefault="00C214C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Count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0ECD" w14:textId="77777777" w:rsidR="00C214C9" w:rsidRDefault="00C214C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8061" w14:textId="77777777" w:rsidR="00C214C9" w:rsidRDefault="00C214C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Average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BBAB" w14:textId="77777777" w:rsidR="00C214C9" w:rsidRDefault="00C214C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Variance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4BF7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0917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14C9" w14:paraId="3061ECD7" w14:textId="77777777" w:rsidTr="00C214C9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39EE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65BB" w14:textId="77777777" w:rsidR="00C214C9" w:rsidRDefault="00C214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A3F4" w14:textId="77777777" w:rsidR="00C214C9" w:rsidRDefault="00C214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AC7F" w14:textId="77777777" w:rsidR="00C214C9" w:rsidRDefault="00C214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1.469924812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4A7F" w14:textId="77777777" w:rsidR="00C214C9" w:rsidRDefault="00C214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0.363243013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B31D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5C98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14C9" w14:paraId="09591E18" w14:textId="77777777" w:rsidTr="00C214C9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C1BB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Tenure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03AB" w14:textId="77777777" w:rsidR="00C214C9" w:rsidRDefault="00C214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7DB4" w14:textId="77777777" w:rsidR="00C214C9" w:rsidRDefault="00C214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4048" w14:textId="77777777" w:rsidR="00C214C9" w:rsidRDefault="00C214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1.721804511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AE1F" w14:textId="77777777" w:rsidR="00C214C9" w:rsidRDefault="00C214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0.646843524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BC4D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82B4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14C9" w14:paraId="1A5ED70C" w14:textId="77777777" w:rsidTr="00C214C9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2502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9099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1360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22E4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5694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25C4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73F2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14C9" w14:paraId="2E2222EA" w14:textId="77777777" w:rsidTr="00C214C9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94F4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2F91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A471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69ED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91FF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C8DE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AF69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14C9" w14:paraId="58EB15B0" w14:textId="77777777" w:rsidTr="00C214C9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47B1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4596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8818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038C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CB08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BC17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6B17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14C9" w14:paraId="089F7EE5" w14:textId="77777777" w:rsidTr="00C214C9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F3F4" w14:textId="77777777" w:rsidR="00C214C9" w:rsidRDefault="00C214C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Source of Variation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AA83" w14:textId="77777777" w:rsidR="00C214C9" w:rsidRDefault="00C214C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3963" w14:textId="77777777" w:rsidR="00C214C9" w:rsidRDefault="00C214C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3D9F" w14:textId="77777777" w:rsidR="00C214C9" w:rsidRDefault="00C214C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A825" w14:textId="77777777" w:rsidR="00C214C9" w:rsidRDefault="00C214C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73CD" w14:textId="77777777" w:rsidR="00C214C9" w:rsidRDefault="00C214C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4994" w14:textId="77777777" w:rsidR="00C214C9" w:rsidRDefault="00C214C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 crit</w:t>
            </w:r>
          </w:p>
        </w:tc>
      </w:tr>
      <w:tr w:rsidR="00C214C9" w14:paraId="2EBBDBD6" w14:textId="77777777" w:rsidTr="00C214C9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DFA5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Between Groups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AF96" w14:textId="77777777" w:rsidR="00C214C9" w:rsidRDefault="00C214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8.437969925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BD85" w14:textId="77777777" w:rsidR="00C214C9" w:rsidRDefault="00C214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81B8" w14:textId="77777777" w:rsidR="00C214C9" w:rsidRDefault="00C214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8.437969925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2F02" w14:textId="77777777" w:rsidR="00C214C9" w:rsidRDefault="00C214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16.70741984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3E49" w14:textId="77777777" w:rsidR="00C214C9" w:rsidRDefault="00C214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5.03731E-05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5932" w14:textId="77777777" w:rsidR="00C214C9" w:rsidRDefault="00C214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3.859063933</w:t>
            </w:r>
          </w:p>
        </w:tc>
      </w:tr>
      <w:tr w:rsidR="00C214C9" w14:paraId="7BFDF781" w14:textId="77777777" w:rsidTr="00C214C9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6034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Within Groups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A552" w14:textId="77777777" w:rsidR="00C214C9" w:rsidRDefault="00C214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267.6729323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3380" w14:textId="77777777" w:rsidR="00C214C9" w:rsidRDefault="00C214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80E1" w14:textId="77777777" w:rsidR="00C214C9" w:rsidRDefault="00C214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0.505043269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073C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7E48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892B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14C9" w14:paraId="13FA841E" w14:textId="77777777" w:rsidTr="00C214C9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1B9A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DA01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4A42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7D0D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229B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67B4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449A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14C9" w14:paraId="39E9578C" w14:textId="77777777" w:rsidTr="00C214C9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20E8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2BFD" w14:textId="77777777" w:rsidR="00C214C9" w:rsidRDefault="00C214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276.1109023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5C3B" w14:textId="77777777" w:rsidR="00C214C9" w:rsidRDefault="00C214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1CAB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D922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E7DD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BC29" w14:textId="77777777" w:rsidR="00C214C9" w:rsidRDefault="00C21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7EAB6DA" w14:textId="7FA0612C" w:rsidR="00C214C9" w:rsidRDefault="00C214C9" w:rsidP="00C214C9">
      <w:pPr>
        <w:spacing w:line="480" w:lineRule="auto"/>
        <w:rPr>
          <w:rFonts w:eastAsia="Calibri"/>
        </w:rPr>
      </w:pPr>
      <w:r>
        <w:rPr>
          <w:rFonts w:eastAsia="Calibri"/>
        </w:rPr>
        <w:t>Table 3: Annova analysis between position and tenure</w:t>
      </w:r>
    </w:p>
    <w:p w14:paraId="7105E88C" w14:textId="713049CF" w:rsidR="001D604F" w:rsidRPr="00E5427F" w:rsidRDefault="001D604F" w:rsidP="001D604F">
      <w:pPr>
        <w:spacing w:line="480" w:lineRule="auto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According to the </w:t>
      </w:r>
      <w:r w:rsidRPr="001D604F">
        <w:rPr>
          <w:rFonts w:eastAsia="Calibri"/>
        </w:rPr>
        <w:t xml:space="preserve">small p-value (5.04E-05), we reject the null hypothesis (H0), which suggests that there is no difference between the groups. </w:t>
      </w:r>
      <w:r>
        <w:rPr>
          <w:rFonts w:eastAsia="Calibri"/>
        </w:rPr>
        <w:t xml:space="preserve">In accordance with the </w:t>
      </w:r>
      <w:r w:rsidRPr="001D604F">
        <w:rPr>
          <w:rFonts w:eastAsia="Calibri"/>
        </w:rPr>
        <w:t>alternative hypothesis (H1), suggesting that there is a significant difference between the groups, is thus accepted</w:t>
      </w:r>
      <w:r>
        <w:rPr>
          <w:rFonts w:eastAsia="Calibri"/>
        </w:rPr>
        <w:t xml:space="preserve"> and t</w:t>
      </w:r>
      <w:r w:rsidRPr="001D604F">
        <w:rPr>
          <w:rFonts w:eastAsia="Calibri"/>
        </w:rPr>
        <w:t>his means there is a statistically significant difference in survey measures between the "Position" and "Tenure" groups.</w:t>
      </w:r>
      <w:r>
        <w:rPr>
          <w:rFonts w:eastAsia="Calibri"/>
        </w:rPr>
        <w:t xml:space="preserve"> However, on the basis of </w:t>
      </w:r>
      <w:r w:rsidRPr="001D604F">
        <w:rPr>
          <w:rFonts w:eastAsia="Calibri"/>
        </w:rPr>
        <w:t>significant difference between the "Position" and "Tenure" groups suggests that employees with different positions or lengths of tenure have different perspectives or responses on the survey</w:t>
      </w:r>
      <w:r>
        <w:rPr>
          <w:rFonts w:eastAsia="Calibri"/>
        </w:rPr>
        <w:t xml:space="preserve"> and according to that m</w:t>
      </w:r>
      <w:r w:rsidRPr="001D604F">
        <w:rPr>
          <w:rFonts w:eastAsia="Calibri"/>
        </w:rPr>
        <w:t>anagement can use this information to tailor strategies that address the unique needs and preferences of employees based on their position within the company and their length of service.</w:t>
      </w:r>
      <w:r>
        <w:rPr>
          <w:rFonts w:eastAsia="Calibri"/>
        </w:rPr>
        <w:t xml:space="preserve"> Based on </w:t>
      </w:r>
      <w:r w:rsidRPr="001D604F">
        <w:rPr>
          <w:rFonts w:eastAsia="Calibri"/>
        </w:rPr>
        <w:t>these findings, management can develop specific interventions for new versus long-tenured employees, as well as for those in different positions</w:t>
      </w:r>
      <w:r>
        <w:rPr>
          <w:rFonts w:eastAsia="Calibri"/>
        </w:rPr>
        <w:t xml:space="preserve"> and t</w:t>
      </w:r>
      <w:r w:rsidRPr="001D604F">
        <w:rPr>
          <w:rFonts w:eastAsia="Calibri"/>
        </w:rPr>
        <w:t>his could involve offering training, career development, and engagement initiatives that are aligned with the employee's position or tenure.</w:t>
      </w:r>
    </w:p>
    <w:p w14:paraId="7F79F8D8" w14:textId="77777777" w:rsidR="000455F6" w:rsidRPr="00B224B6" w:rsidRDefault="000455F6" w:rsidP="003C7F15">
      <w:pPr>
        <w:pStyle w:val="Blockquote"/>
        <w:spacing w:before="0" w:after="0" w:line="480" w:lineRule="auto"/>
        <w:ind w:left="0"/>
        <w:jc w:val="center"/>
        <w:rPr>
          <w:b/>
          <w:color w:val="000000"/>
          <w:szCs w:val="24"/>
        </w:rPr>
      </w:pPr>
      <w:r w:rsidRPr="00B224B6">
        <w:rPr>
          <w:b/>
          <w:color w:val="000000"/>
          <w:szCs w:val="24"/>
        </w:rPr>
        <w:t>Conclusion</w:t>
      </w:r>
    </w:p>
    <w:p w14:paraId="60146C8C" w14:textId="6334871D" w:rsidR="001D604F" w:rsidRPr="001D604F" w:rsidRDefault="000455F6" w:rsidP="001D604F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color w:val="000000"/>
        </w:rPr>
      </w:pPr>
      <w:r w:rsidRPr="00B224B6">
        <w:rPr>
          <w:color w:val="000000"/>
        </w:rPr>
        <w:tab/>
      </w:r>
      <w:r w:rsidR="001D604F">
        <w:rPr>
          <w:color w:val="000000"/>
        </w:rPr>
        <w:tab/>
        <w:t xml:space="preserve">According to the above analysis, which tends to concludes that the </w:t>
      </w:r>
      <w:r w:rsidR="001D604F" w:rsidRPr="001D604F">
        <w:rPr>
          <w:color w:val="000000"/>
        </w:rPr>
        <w:t>results</w:t>
      </w:r>
      <w:r w:rsidR="001D604F" w:rsidRPr="001D604F">
        <w:rPr>
          <w:color w:val="000000"/>
        </w:rPr>
        <w:t xml:space="preserve"> of the three ANOVA tests demonstrate significant differences in survey measures across various demographic and organizational groups, including age, department, position, and tenure</w:t>
      </w:r>
      <w:r w:rsidR="001D604F">
        <w:rPr>
          <w:color w:val="000000"/>
        </w:rPr>
        <w:t xml:space="preserve"> such as t</w:t>
      </w:r>
      <w:r w:rsidR="001D604F" w:rsidRPr="001D604F">
        <w:rPr>
          <w:color w:val="000000"/>
        </w:rPr>
        <w:t>hese findings highlight the importance of understanding group-specific differences, allowing management to implement tailored strategies that enhance employee engagement, satisfaction, and productivity</w:t>
      </w:r>
      <w:r w:rsidR="001D604F">
        <w:rPr>
          <w:color w:val="000000"/>
        </w:rPr>
        <w:t xml:space="preserve"> such as b</w:t>
      </w:r>
      <w:r w:rsidR="001D604F" w:rsidRPr="001D604F">
        <w:rPr>
          <w:color w:val="000000"/>
        </w:rPr>
        <w:t>y leveraging these insights, organizations can optimize their human resource practices and foster a more inclusive and effective work environment.</w:t>
      </w:r>
    </w:p>
    <w:p w14:paraId="054C6B70" w14:textId="0A953139" w:rsidR="000455F6" w:rsidRPr="00B224B6" w:rsidRDefault="000455F6" w:rsidP="00B224B6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color w:val="000000"/>
        </w:rPr>
      </w:pPr>
    </w:p>
    <w:p w14:paraId="5FC249A1" w14:textId="77777777" w:rsidR="000455F6" w:rsidRPr="00B224B6" w:rsidRDefault="000455F6" w:rsidP="003F62B7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left="-360"/>
        <w:jc w:val="center"/>
        <w:textAlignment w:val="baseline"/>
        <w:rPr>
          <w:color w:val="000000"/>
          <w:highlight w:val="yellow"/>
        </w:rPr>
      </w:pPr>
      <w:r w:rsidRPr="00B224B6">
        <w:rPr>
          <w:color w:val="000000"/>
        </w:rPr>
        <w:br w:type="page"/>
      </w:r>
      <w:r w:rsidRPr="00B224B6">
        <w:rPr>
          <w:b/>
          <w:color w:val="000000"/>
        </w:rPr>
        <w:lastRenderedPageBreak/>
        <w:t>References</w:t>
      </w:r>
    </w:p>
    <w:p w14:paraId="7D910E7B" w14:textId="4E47ACFC" w:rsidR="001D604F" w:rsidRPr="001D604F" w:rsidRDefault="001D604F" w:rsidP="001D604F">
      <w:pPr>
        <w:spacing w:line="480" w:lineRule="auto"/>
        <w:ind w:left="1077" w:hanging="720"/>
        <w:jc w:val="both"/>
        <w:rPr>
          <w:color w:val="000000"/>
        </w:rPr>
      </w:pPr>
      <w:proofErr w:type="spellStart"/>
      <w:r w:rsidRPr="001D604F">
        <w:rPr>
          <w:color w:val="000000"/>
        </w:rPr>
        <w:t>Ashikali</w:t>
      </w:r>
      <w:proofErr w:type="spellEnd"/>
      <w:r w:rsidRPr="001D604F">
        <w:rPr>
          <w:color w:val="000000"/>
        </w:rPr>
        <w:t xml:space="preserve">, T., &amp; Groeneveld, S. (2015). Diversity management in public organizations and its effect on employees' affective commitment: The role of transformational leadership and the inclusiveness of the organizational culture. </w:t>
      </w:r>
      <w:r w:rsidRPr="001D604F">
        <w:rPr>
          <w:i/>
          <w:iCs/>
          <w:color w:val="000000"/>
        </w:rPr>
        <w:t>Review of Public Personnel Administration, 35</w:t>
      </w:r>
      <w:r w:rsidRPr="001D604F">
        <w:rPr>
          <w:color w:val="000000"/>
        </w:rPr>
        <w:t>(2), 146–168.​</w:t>
      </w:r>
      <w:r w:rsidRPr="001D604F">
        <w:rPr>
          <w:color w:val="000000"/>
        </w:rPr>
        <w:t xml:space="preserve"> </w:t>
      </w:r>
    </w:p>
    <w:p w14:paraId="40E58064" w14:textId="32C9EB40" w:rsidR="001D604F" w:rsidRPr="001D604F" w:rsidRDefault="001D604F" w:rsidP="001D604F">
      <w:pPr>
        <w:spacing w:line="480" w:lineRule="auto"/>
        <w:ind w:left="1077" w:hanging="720"/>
        <w:jc w:val="both"/>
        <w:rPr>
          <w:color w:val="000000"/>
        </w:rPr>
      </w:pPr>
      <w:r w:rsidRPr="001D604F">
        <w:rPr>
          <w:color w:val="000000"/>
        </w:rPr>
        <w:t xml:space="preserve">Trochmann, M., Stewart, K., &amp; Ragusa, J. (2023). The impact of employee perceptions of inclusion in a racially diverse agency: Lessons from a state government survey. </w:t>
      </w:r>
      <w:r w:rsidRPr="001D604F">
        <w:rPr>
          <w:i/>
          <w:iCs/>
          <w:color w:val="000000"/>
        </w:rPr>
        <w:t>Public Personnel Management, 52</w:t>
      </w:r>
      <w:r w:rsidRPr="001D604F">
        <w:rPr>
          <w:color w:val="000000"/>
        </w:rPr>
        <w:t>(4), 429–452.​</w:t>
      </w:r>
      <w:r w:rsidRPr="001D604F">
        <w:rPr>
          <w:color w:val="000000"/>
        </w:rPr>
        <w:t xml:space="preserve"> </w:t>
      </w:r>
    </w:p>
    <w:p w14:paraId="3F7B51F9" w14:textId="0FC0ABA0" w:rsidR="001D604F" w:rsidRPr="001D604F" w:rsidRDefault="001D604F" w:rsidP="001D604F">
      <w:pPr>
        <w:spacing w:line="480" w:lineRule="auto"/>
        <w:ind w:left="1077" w:hanging="720"/>
        <w:jc w:val="both"/>
        <w:rPr>
          <w:color w:val="000000"/>
        </w:rPr>
      </w:pPr>
      <w:r w:rsidRPr="001D604F">
        <w:rPr>
          <w:color w:val="000000"/>
        </w:rPr>
        <w:t xml:space="preserve">Brimhall, K. C., Lizano, E. L., &amp; Barak, M. E. M. (2014). The mediating role of inclusion: A longitudinal study of the effects of leader-member exchange and diversity climate on job satisfaction and intention to leave among child welfare workers. </w:t>
      </w:r>
      <w:r w:rsidRPr="001D604F">
        <w:rPr>
          <w:i/>
          <w:iCs/>
          <w:color w:val="000000"/>
        </w:rPr>
        <w:t>Children and Youth Services Review, 36</w:t>
      </w:r>
      <w:r w:rsidRPr="001D604F">
        <w:rPr>
          <w:color w:val="000000"/>
        </w:rPr>
        <w:t>(1), 137–146.​</w:t>
      </w:r>
      <w:r w:rsidRPr="001D604F">
        <w:rPr>
          <w:color w:val="000000"/>
        </w:rPr>
        <w:t xml:space="preserve"> </w:t>
      </w:r>
    </w:p>
    <w:p w14:paraId="79048888" w14:textId="1AB2A13B" w:rsidR="001D604F" w:rsidRPr="001D604F" w:rsidRDefault="001D604F" w:rsidP="001D604F">
      <w:pPr>
        <w:spacing w:line="480" w:lineRule="auto"/>
        <w:ind w:left="1077" w:hanging="720"/>
        <w:jc w:val="both"/>
        <w:rPr>
          <w:color w:val="000000"/>
        </w:rPr>
      </w:pPr>
      <w:r w:rsidRPr="001D604F">
        <w:rPr>
          <w:color w:val="000000"/>
        </w:rPr>
        <w:t xml:space="preserve">Dover, T. L., Kaiser, C. R., &amp; Major, B. (2020). Mixed signals: The unintended effects of diversity initiatives. </w:t>
      </w:r>
      <w:r w:rsidRPr="001D604F">
        <w:rPr>
          <w:i/>
          <w:iCs/>
          <w:color w:val="000000"/>
        </w:rPr>
        <w:t>Social Issues and Policy Review, 14</w:t>
      </w:r>
      <w:r w:rsidRPr="001D604F">
        <w:rPr>
          <w:color w:val="000000"/>
        </w:rPr>
        <w:t>(1), 152–181.​</w:t>
      </w:r>
      <w:r w:rsidRPr="001D604F">
        <w:rPr>
          <w:color w:val="000000"/>
        </w:rPr>
        <w:t xml:space="preserve"> </w:t>
      </w:r>
    </w:p>
    <w:p w14:paraId="28171744" w14:textId="173132A2" w:rsidR="000455F6" w:rsidRPr="00B224B6" w:rsidRDefault="001D604F" w:rsidP="001D604F">
      <w:pPr>
        <w:spacing w:line="480" w:lineRule="auto"/>
        <w:ind w:left="1077" w:hanging="720"/>
        <w:jc w:val="both"/>
        <w:rPr>
          <w:color w:val="000000"/>
        </w:rPr>
      </w:pPr>
      <w:proofErr w:type="spellStart"/>
      <w:r w:rsidRPr="001D604F">
        <w:rPr>
          <w:color w:val="000000"/>
        </w:rPr>
        <w:t>Chordiya</w:t>
      </w:r>
      <w:proofErr w:type="spellEnd"/>
      <w:r w:rsidRPr="001D604F">
        <w:rPr>
          <w:color w:val="000000"/>
        </w:rPr>
        <w:t xml:space="preserve">, R. (2019). Are federal </w:t>
      </w:r>
      <w:proofErr w:type="gramStart"/>
      <w:r w:rsidRPr="001D604F">
        <w:rPr>
          <w:color w:val="000000"/>
        </w:rPr>
        <w:t>child care</w:t>
      </w:r>
      <w:proofErr w:type="gramEnd"/>
      <w:r w:rsidRPr="001D604F">
        <w:rPr>
          <w:color w:val="000000"/>
        </w:rPr>
        <w:t xml:space="preserve"> programs sufficient for employee retention? Critical examination from a gendered perspective. </w:t>
      </w:r>
      <w:r w:rsidRPr="001D604F">
        <w:rPr>
          <w:i/>
          <w:iCs/>
          <w:color w:val="000000"/>
        </w:rPr>
        <w:t>The American Review of Public Administration, 49</w:t>
      </w:r>
      <w:r w:rsidRPr="001D604F">
        <w:rPr>
          <w:color w:val="000000"/>
        </w:rPr>
        <w:t>(6), 678–696.</w:t>
      </w:r>
    </w:p>
    <w:p w14:paraId="18E46060" w14:textId="77777777" w:rsidR="000455F6" w:rsidRPr="00B224B6" w:rsidRDefault="000455F6" w:rsidP="00B224B6">
      <w:pPr>
        <w:spacing w:line="480" w:lineRule="auto"/>
        <w:rPr>
          <w:color w:val="000000"/>
        </w:rPr>
      </w:pPr>
    </w:p>
    <w:p w14:paraId="0C520018" w14:textId="77777777" w:rsidR="00A42F13" w:rsidRPr="00B224B6" w:rsidRDefault="00A42F13" w:rsidP="00B224B6">
      <w:pPr>
        <w:spacing w:line="480" w:lineRule="auto"/>
        <w:jc w:val="center"/>
        <w:rPr>
          <w:color w:val="000000"/>
        </w:rPr>
      </w:pPr>
    </w:p>
    <w:sectPr w:rsidR="00A42F13" w:rsidRPr="00B224B6" w:rsidSect="003F5158">
      <w:headerReference w:type="default" r:id="rId10"/>
      <w:headerReference w:type="first" r:id="rId11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1ECD" w14:textId="77777777" w:rsidR="00FC0479" w:rsidRDefault="00FC0479">
      <w:r>
        <w:separator/>
      </w:r>
    </w:p>
  </w:endnote>
  <w:endnote w:type="continuationSeparator" w:id="0">
    <w:p w14:paraId="55EA4057" w14:textId="77777777" w:rsidR="00FC0479" w:rsidRDefault="00FC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5E7D" w14:textId="77777777" w:rsidR="00FC0479" w:rsidRDefault="00FC0479">
      <w:r>
        <w:separator/>
      </w:r>
    </w:p>
  </w:footnote>
  <w:footnote w:type="continuationSeparator" w:id="0">
    <w:p w14:paraId="0734B22A" w14:textId="77777777" w:rsidR="00FC0479" w:rsidRDefault="00FC0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E46C" w14:textId="77777777" w:rsidR="00B32F73" w:rsidRDefault="00E4493B" w:rsidP="00026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2F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42AB">
      <w:rPr>
        <w:rStyle w:val="PageNumber"/>
        <w:noProof/>
      </w:rPr>
      <w:t>3</w:t>
    </w:r>
    <w:r>
      <w:rPr>
        <w:rStyle w:val="PageNumber"/>
      </w:rPr>
      <w:fldChar w:fldCharType="end"/>
    </w:r>
  </w:p>
  <w:p w14:paraId="3A9BF68D" w14:textId="1D991A61" w:rsidR="00B32F73" w:rsidRPr="00352E8D" w:rsidRDefault="00F378C4" w:rsidP="003F5158">
    <w:pPr>
      <w:pStyle w:val="Header"/>
      <w:ind w:right="360"/>
      <w:rPr>
        <w:sz w:val="22"/>
        <w:szCs w:val="22"/>
      </w:rPr>
    </w:pPr>
    <w:r>
      <w:t>BUS</w:t>
    </w:r>
    <w:r w:rsidR="002C7462">
      <w:t>520</w:t>
    </w:r>
    <w:r w:rsidR="00D0108C">
      <w:t xml:space="preserve"> </w:t>
    </w:r>
    <w:r w:rsidR="00352229">
      <w:t>Case</w:t>
    </w:r>
    <w:r w:rsidR="006624AB">
      <w:t xml:space="preserve"> </w:t>
    </w:r>
    <w:r w:rsidR="00E5427F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AA7D" w14:textId="73FA77ED" w:rsidR="00B32F73" w:rsidRDefault="003F5158" w:rsidP="00286395">
    <w:pPr>
      <w:pStyle w:val="Header"/>
      <w:jc w:val="right"/>
    </w:pPr>
    <w:r>
      <w:t xml:space="preserve">                                                                                               </w:t>
    </w:r>
    <w:r w:rsidR="00AE1D46">
      <w:fldChar w:fldCharType="begin"/>
    </w:r>
    <w:r w:rsidR="00AE1D46">
      <w:instrText xml:space="preserve"> PAGE   \* MERGEFORMAT </w:instrText>
    </w:r>
    <w:r w:rsidR="00AE1D46">
      <w:fldChar w:fldCharType="separate"/>
    </w:r>
    <w:r w:rsidR="003E42AB">
      <w:rPr>
        <w:noProof/>
      </w:rPr>
      <w:t>1</w:t>
    </w:r>
    <w:r w:rsidR="00AE1D46">
      <w:rPr>
        <w:noProof/>
      </w:rPr>
      <w:fldChar w:fldCharType="end"/>
    </w:r>
  </w:p>
  <w:p w14:paraId="2A3953CE" w14:textId="77777777" w:rsidR="00B32F73" w:rsidRDefault="00B32F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C7F"/>
    <w:multiLevelType w:val="hybridMultilevel"/>
    <w:tmpl w:val="3C82A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1B75"/>
    <w:multiLevelType w:val="multilevel"/>
    <w:tmpl w:val="0F9E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D4A11"/>
    <w:multiLevelType w:val="multilevel"/>
    <w:tmpl w:val="8A6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314AD"/>
    <w:multiLevelType w:val="hybridMultilevel"/>
    <w:tmpl w:val="D9B0D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61414"/>
    <w:multiLevelType w:val="hybridMultilevel"/>
    <w:tmpl w:val="E4FC4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4F31AE"/>
    <w:multiLevelType w:val="multilevel"/>
    <w:tmpl w:val="2E30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5F5ADC"/>
    <w:multiLevelType w:val="hybridMultilevel"/>
    <w:tmpl w:val="8B7CBD7E"/>
    <w:lvl w:ilvl="0" w:tplc="9580BEB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802A9"/>
    <w:multiLevelType w:val="multilevel"/>
    <w:tmpl w:val="837C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DD75F4"/>
    <w:multiLevelType w:val="hybridMultilevel"/>
    <w:tmpl w:val="C8BA1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590531"/>
    <w:multiLevelType w:val="multilevel"/>
    <w:tmpl w:val="A4A6E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F63B5E"/>
    <w:multiLevelType w:val="hybridMultilevel"/>
    <w:tmpl w:val="83EC6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983B43"/>
    <w:multiLevelType w:val="hybridMultilevel"/>
    <w:tmpl w:val="84C87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A42AEE"/>
    <w:multiLevelType w:val="multilevel"/>
    <w:tmpl w:val="50AE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954E86"/>
    <w:multiLevelType w:val="hybridMultilevel"/>
    <w:tmpl w:val="49E8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A0175"/>
    <w:multiLevelType w:val="hybridMultilevel"/>
    <w:tmpl w:val="466E5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8C2640"/>
    <w:multiLevelType w:val="hybridMultilevel"/>
    <w:tmpl w:val="17F8C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B20004"/>
    <w:multiLevelType w:val="hybridMultilevel"/>
    <w:tmpl w:val="6C9C3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E76CF"/>
    <w:multiLevelType w:val="hybridMultilevel"/>
    <w:tmpl w:val="6E34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5199D"/>
    <w:multiLevelType w:val="hybridMultilevel"/>
    <w:tmpl w:val="9D321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85384"/>
    <w:multiLevelType w:val="hybridMultilevel"/>
    <w:tmpl w:val="8EE2F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A7DA7"/>
    <w:multiLevelType w:val="hybridMultilevel"/>
    <w:tmpl w:val="ACB4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446CB"/>
    <w:multiLevelType w:val="hybridMultilevel"/>
    <w:tmpl w:val="49A816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629B1222"/>
    <w:multiLevelType w:val="multilevel"/>
    <w:tmpl w:val="87DA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D85337"/>
    <w:multiLevelType w:val="hybridMultilevel"/>
    <w:tmpl w:val="42A65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C46A98"/>
    <w:multiLevelType w:val="multilevel"/>
    <w:tmpl w:val="1026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593D2C"/>
    <w:multiLevelType w:val="hybridMultilevel"/>
    <w:tmpl w:val="2610A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C32DC0"/>
    <w:multiLevelType w:val="hybridMultilevel"/>
    <w:tmpl w:val="D3C0E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620CC"/>
    <w:multiLevelType w:val="hybridMultilevel"/>
    <w:tmpl w:val="B6A2E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667808"/>
    <w:multiLevelType w:val="multilevel"/>
    <w:tmpl w:val="1E32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A735E4"/>
    <w:multiLevelType w:val="multilevel"/>
    <w:tmpl w:val="5150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A97C58"/>
    <w:multiLevelType w:val="hybridMultilevel"/>
    <w:tmpl w:val="24BA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A31DD"/>
    <w:multiLevelType w:val="hybridMultilevel"/>
    <w:tmpl w:val="602E3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C72876"/>
    <w:multiLevelType w:val="hybridMultilevel"/>
    <w:tmpl w:val="015A4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F5753F"/>
    <w:multiLevelType w:val="multilevel"/>
    <w:tmpl w:val="6B82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ED1B21"/>
    <w:multiLevelType w:val="multilevel"/>
    <w:tmpl w:val="FEB4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995848"/>
    <w:multiLevelType w:val="hybridMultilevel"/>
    <w:tmpl w:val="369412D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661345">
    <w:abstractNumId w:val="18"/>
  </w:num>
  <w:num w:numId="2" w16cid:durableId="535964918">
    <w:abstractNumId w:val="9"/>
  </w:num>
  <w:num w:numId="3" w16cid:durableId="1496919869">
    <w:abstractNumId w:val="16"/>
  </w:num>
  <w:num w:numId="4" w16cid:durableId="1380088461">
    <w:abstractNumId w:val="26"/>
  </w:num>
  <w:num w:numId="5" w16cid:durableId="1777477705">
    <w:abstractNumId w:val="1"/>
  </w:num>
  <w:num w:numId="6" w16cid:durableId="1273708725">
    <w:abstractNumId w:val="31"/>
  </w:num>
  <w:num w:numId="7" w16cid:durableId="1357543132">
    <w:abstractNumId w:val="27"/>
  </w:num>
  <w:num w:numId="8" w16cid:durableId="691340723">
    <w:abstractNumId w:val="13"/>
  </w:num>
  <w:num w:numId="9" w16cid:durableId="76757128">
    <w:abstractNumId w:val="2"/>
  </w:num>
  <w:num w:numId="10" w16cid:durableId="852450005">
    <w:abstractNumId w:val="20"/>
  </w:num>
  <w:num w:numId="11" w16cid:durableId="294650401">
    <w:abstractNumId w:val="4"/>
  </w:num>
  <w:num w:numId="12" w16cid:durableId="2081057049">
    <w:abstractNumId w:val="29"/>
  </w:num>
  <w:num w:numId="13" w16cid:durableId="1894848445">
    <w:abstractNumId w:val="30"/>
  </w:num>
  <w:num w:numId="14" w16cid:durableId="1297880646">
    <w:abstractNumId w:val="24"/>
  </w:num>
  <w:num w:numId="15" w16cid:durableId="1779448963">
    <w:abstractNumId w:val="34"/>
  </w:num>
  <w:num w:numId="16" w16cid:durableId="904560550">
    <w:abstractNumId w:val="22"/>
  </w:num>
  <w:num w:numId="17" w16cid:durableId="409617010">
    <w:abstractNumId w:val="35"/>
  </w:num>
  <w:num w:numId="18" w16cid:durableId="559829205">
    <w:abstractNumId w:val="10"/>
  </w:num>
  <w:num w:numId="19" w16cid:durableId="408505877">
    <w:abstractNumId w:val="8"/>
  </w:num>
  <w:num w:numId="20" w16cid:durableId="1688866660">
    <w:abstractNumId w:val="14"/>
  </w:num>
  <w:num w:numId="21" w16cid:durableId="1624650250">
    <w:abstractNumId w:val="23"/>
  </w:num>
  <w:num w:numId="22" w16cid:durableId="2004623384">
    <w:abstractNumId w:val="11"/>
  </w:num>
  <w:num w:numId="23" w16cid:durableId="348220480">
    <w:abstractNumId w:val="25"/>
  </w:num>
  <w:num w:numId="24" w16cid:durableId="1116100490">
    <w:abstractNumId w:val="3"/>
  </w:num>
  <w:num w:numId="25" w16cid:durableId="1403405434">
    <w:abstractNumId w:val="32"/>
  </w:num>
  <w:num w:numId="26" w16cid:durableId="1135950431">
    <w:abstractNumId w:val="21"/>
  </w:num>
  <w:num w:numId="27" w16cid:durableId="901330483">
    <w:abstractNumId w:val="12"/>
  </w:num>
  <w:num w:numId="28" w16cid:durableId="966474019">
    <w:abstractNumId w:val="5"/>
  </w:num>
  <w:num w:numId="29" w16cid:durableId="1797869448">
    <w:abstractNumId w:val="33"/>
  </w:num>
  <w:num w:numId="30" w16cid:durableId="2093038862">
    <w:abstractNumId w:val="15"/>
  </w:num>
  <w:num w:numId="31" w16cid:durableId="1319263497">
    <w:abstractNumId w:val="0"/>
  </w:num>
  <w:num w:numId="32" w16cid:durableId="403724347">
    <w:abstractNumId w:val="17"/>
  </w:num>
  <w:num w:numId="33" w16cid:durableId="1956793090">
    <w:abstractNumId w:val="28"/>
  </w:num>
  <w:num w:numId="34" w16cid:durableId="1730684390">
    <w:abstractNumId w:val="7"/>
  </w:num>
  <w:num w:numId="35" w16cid:durableId="858003349">
    <w:abstractNumId w:val="19"/>
  </w:num>
  <w:num w:numId="36" w16cid:durableId="13327566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0MzYztzC3MDE0MDFR0lEKTi0uzszPAykwMq4FAFsB5/ItAAAA"/>
  </w:docVars>
  <w:rsids>
    <w:rsidRoot w:val="0050433C"/>
    <w:rsid w:val="00026142"/>
    <w:rsid w:val="0003472F"/>
    <w:rsid w:val="000455F6"/>
    <w:rsid w:val="00047143"/>
    <w:rsid w:val="000511FA"/>
    <w:rsid w:val="0006074E"/>
    <w:rsid w:val="00081629"/>
    <w:rsid w:val="00085C7F"/>
    <w:rsid w:val="000A198A"/>
    <w:rsid w:val="000A39A9"/>
    <w:rsid w:val="000B008D"/>
    <w:rsid w:val="000B6AD6"/>
    <w:rsid w:val="000C144F"/>
    <w:rsid w:val="000C1741"/>
    <w:rsid w:val="000C6AD9"/>
    <w:rsid w:val="000E0F36"/>
    <w:rsid w:val="000F1641"/>
    <w:rsid w:val="00106FDE"/>
    <w:rsid w:val="001147C1"/>
    <w:rsid w:val="00131A1B"/>
    <w:rsid w:val="001377D4"/>
    <w:rsid w:val="00147909"/>
    <w:rsid w:val="00150EEF"/>
    <w:rsid w:val="00154F49"/>
    <w:rsid w:val="00163836"/>
    <w:rsid w:val="00167D67"/>
    <w:rsid w:val="001758DE"/>
    <w:rsid w:val="00182003"/>
    <w:rsid w:val="001A55A9"/>
    <w:rsid w:val="001D090F"/>
    <w:rsid w:val="001D1CD9"/>
    <w:rsid w:val="001D604F"/>
    <w:rsid w:val="001F40F3"/>
    <w:rsid w:val="0020174B"/>
    <w:rsid w:val="0020241D"/>
    <w:rsid w:val="00211094"/>
    <w:rsid w:val="0021351E"/>
    <w:rsid w:val="002439C9"/>
    <w:rsid w:val="00253713"/>
    <w:rsid w:val="00256256"/>
    <w:rsid w:val="00286395"/>
    <w:rsid w:val="002A2C9F"/>
    <w:rsid w:val="002B6BFA"/>
    <w:rsid w:val="002C00BE"/>
    <w:rsid w:val="002C7462"/>
    <w:rsid w:val="002D755D"/>
    <w:rsid w:val="002E6180"/>
    <w:rsid w:val="002F7DEF"/>
    <w:rsid w:val="00312827"/>
    <w:rsid w:val="00352229"/>
    <w:rsid w:val="00352E8D"/>
    <w:rsid w:val="00354C36"/>
    <w:rsid w:val="00356E85"/>
    <w:rsid w:val="00361978"/>
    <w:rsid w:val="00364C68"/>
    <w:rsid w:val="003A0026"/>
    <w:rsid w:val="003A1801"/>
    <w:rsid w:val="003C7F15"/>
    <w:rsid w:val="003D6821"/>
    <w:rsid w:val="003E42AB"/>
    <w:rsid w:val="003E5F3A"/>
    <w:rsid w:val="003F2F65"/>
    <w:rsid w:val="003F3719"/>
    <w:rsid w:val="003F5158"/>
    <w:rsid w:val="003F62B7"/>
    <w:rsid w:val="00403444"/>
    <w:rsid w:val="00415754"/>
    <w:rsid w:val="00420274"/>
    <w:rsid w:val="00422016"/>
    <w:rsid w:val="00425A9A"/>
    <w:rsid w:val="00430195"/>
    <w:rsid w:val="00436393"/>
    <w:rsid w:val="00440095"/>
    <w:rsid w:val="0044112E"/>
    <w:rsid w:val="00454CAF"/>
    <w:rsid w:val="00456686"/>
    <w:rsid w:val="004578EE"/>
    <w:rsid w:val="004604B1"/>
    <w:rsid w:val="00466700"/>
    <w:rsid w:val="004853C2"/>
    <w:rsid w:val="00492DCE"/>
    <w:rsid w:val="0049530B"/>
    <w:rsid w:val="004A3C8E"/>
    <w:rsid w:val="004C1298"/>
    <w:rsid w:val="00501F18"/>
    <w:rsid w:val="00502A2F"/>
    <w:rsid w:val="005040FF"/>
    <w:rsid w:val="0050433C"/>
    <w:rsid w:val="0050489F"/>
    <w:rsid w:val="00522766"/>
    <w:rsid w:val="00530A67"/>
    <w:rsid w:val="0053493C"/>
    <w:rsid w:val="005412E4"/>
    <w:rsid w:val="0055467F"/>
    <w:rsid w:val="00561A56"/>
    <w:rsid w:val="00565081"/>
    <w:rsid w:val="0057635E"/>
    <w:rsid w:val="00581CE2"/>
    <w:rsid w:val="00595B65"/>
    <w:rsid w:val="005E5214"/>
    <w:rsid w:val="005E5984"/>
    <w:rsid w:val="005F3678"/>
    <w:rsid w:val="005F75ED"/>
    <w:rsid w:val="0060394A"/>
    <w:rsid w:val="006124DB"/>
    <w:rsid w:val="00614C45"/>
    <w:rsid w:val="00625523"/>
    <w:rsid w:val="006416F4"/>
    <w:rsid w:val="006431F1"/>
    <w:rsid w:val="00660724"/>
    <w:rsid w:val="006624AB"/>
    <w:rsid w:val="00672D33"/>
    <w:rsid w:val="006730B0"/>
    <w:rsid w:val="00674A8C"/>
    <w:rsid w:val="006A5C5E"/>
    <w:rsid w:val="006B25B5"/>
    <w:rsid w:val="006E1EF5"/>
    <w:rsid w:val="006F527A"/>
    <w:rsid w:val="0070200D"/>
    <w:rsid w:val="00711DC4"/>
    <w:rsid w:val="007572B6"/>
    <w:rsid w:val="007668DC"/>
    <w:rsid w:val="007A1B1F"/>
    <w:rsid w:val="007D1376"/>
    <w:rsid w:val="007F79BB"/>
    <w:rsid w:val="008026AA"/>
    <w:rsid w:val="0081017D"/>
    <w:rsid w:val="00824636"/>
    <w:rsid w:val="008255DE"/>
    <w:rsid w:val="00841A9E"/>
    <w:rsid w:val="00841F4A"/>
    <w:rsid w:val="00844EE7"/>
    <w:rsid w:val="00854C46"/>
    <w:rsid w:val="00873554"/>
    <w:rsid w:val="00880C08"/>
    <w:rsid w:val="00883AAD"/>
    <w:rsid w:val="00896609"/>
    <w:rsid w:val="008B7F59"/>
    <w:rsid w:val="008C7966"/>
    <w:rsid w:val="008D23AA"/>
    <w:rsid w:val="008D3F0D"/>
    <w:rsid w:val="008D5C02"/>
    <w:rsid w:val="008E469D"/>
    <w:rsid w:val="008F74C4"/>
    <w:rsid w:val="009007D4"/>
    <w:rsid w:val="0091254D"/>
    <w:rsid w:val="00954A41"/>
    <w:rsid w:val="00960B22"/>
    <w:rsid w:val="009749F9"/>
    <w:rsid w:val="00977C3F"/>
    <w:rsid w:val="009847D8"/>
    <w:rsid w:val="00990C99"/>
    <w:rsid w:val="00991A50"/>
    <w:rsid w:val="009A3DEA"/>
    <w:rsid w:val="009B60BA"/>
    <w:rsid w:val="009B6C8F"/>
    <w:rsid w:val="009C36FD"/>
    <w:rsid w:val="009C743D"/>
    <w:rsid w:val="009D375B"/>
    <w:rsid w:val="009D378A"/>
    <w:rsid w:val="00A00D2C"/>
    <w:rsid w:val="00A037C7"/>
    <w:rsid w:val="00A13576"/>
    <w:rsid w:val="00A1437D"/>
    <w:rsid w:val="00A225DF"/>
    <w:rsid w:val="00A27F42"/>
    <w:rsid w:val="00A37498"/>
    <w:rsid w:val="00A426A5"/>
    <w:rsid w:val="00A42F13"/>
    <w:rsid w:val="00A4532E"/>
    <w:rsid w:val="00A6361F"/>
    <w:rsid w:val="00A725AF"/>
    <w:rsid w:val="00A75CFC"/>
    <w:rsid w:val="00A93CC1"/>
    <w:rsid w:val="00A95E3A"/>
    <w:rsid w:val="00AA3F20"/>
    <w:rsid w:val="00AD4FAC"/>
    <w:rsid w:val="00AE1D46"/>
    <w:rsid w:val="00AE3507"/>
    <w:rsid w:val="00B02092"/>
    <w:rsid w:val="00B02A05"/>
    <w:rsid w:val="00B02DD7"/>
    <w:rsid w:val="00B042E8"/>
    <w:rsid w:val="00B068A8"/>
    <w:rsid w:val="00B10C07"/>
    <w:rsid w:val="00B224B6"/>
    <w:rsid w:val="00B22E3F"/>
    <w:rsid w:val="00B32F73"/>
    <w:rsid w:val="00B37F5A"/>
    <w:rsid w:val="00B4235C"/>
    <w:rsid w:val="00B46D48"/>
    <w:rsid w:val="00B6023E"/>
    <w:rsid w:val="00B6034C"/>
    <w:rsid w:val="00B62A78"/>
    <w:rsid w:val="00B742AF"/>
    <w:rsid w:val="00B80515"/>
    <w:rsid w:val="00B8112C"/>
    <w:rsid w:val="00B83BDF"/>
    <w:rsid w:val="00B93D96"/>
    <w:rsid w:val="00BD1C8D"/>
    <w:rsid w:val="00BD3733"/>
    <w:rsid w:val="00BD6FF4"/>
    <w:rsid w:val="00BE410C"/>
    <w:rsid w:val="00BF7C6E"/>
    <w:rsid w:val="00C16DDC"/>
    <w:rsid w:val="00C214C9"/>
    <w:rsid w:val="00C21C1C"/>
    <w:rsid w:val="00C22265"/>
    <w:rsid w:val="00C277CE"/>
    <w:rsid w:val="00C31727"/>
    <w:rsid w:val="00C51C2A"/>
    <w:rsid w:val="00C5533D"/>
    <w:rsid w:val="00C74F8E"/>
    <w:rsid w:val="00C769CD"/>
    <w:rsid w:val="00C863E2"/>
    <w:rsid w:val="00C9472F"/>
    <w:rsid w:val="00CA791D"/>
    <w:rsid w:val="00CC057E"/>
    <w:rsid w:val="00CC3628"/>
    <w:rsid w:val="00CD2528"/>
    <w:rsid w:val="00CE2E66"/>
    <w:rsid w:val="00CF070A"/>
    <w:rsid w:val="00D0108C"/>
    <w:rsid w:val="00D13AC0"/>
    <w:rsid w:val="00D172FE"/>
    <w:rsid w:val="00D200BF"/>
    <w:rsid w:val="00D47CA9"/>
    <w:rsid w:val="00D57D30"/>
    <w:rsid w:val="00D7332A"/>
    <w:rsid w:val="00D82F74"/>
    <w:rsid w:val="00D87258"/>
    <w:rsid w:val="00D96DDF"/>
    <w:rsid w:val="00DA07CA"/>
    <w:rsid w:val="00DB099B"/>
    <w:rsid w:val="00DB7248"/>
    <w:rsid w:val="00DD0C4D"/>
    <w:rsid w:val="00DE1A4A"/>
    <w:rsid w:val="00DE3706"/>
    <w:rsid w:val="00DE5909"/>
    <w:rsid w:val="00DE7652"/>
    <w:rsid w:val="00DF5ED9"/>
    <w:rsid w:val="00E026E0"/>
    <w:rsid w:val="00E046B3"/>
    <w:rsid w:val="00E062B8"/>
    <w:rsid w:val="00E347E9"/>
    <w:rsid w:val="00E40301"/>
    <w:rsid w:val="00E4493B"/>
    <w:rsid w:val="00E45724"/>
    <w:rsid w:val="00E45886"/>
    <w:rsid w:val="00E5427F"/>
    <w:rsid w:val="00E63F35"/>
    <w:rsid w:val="00E642BD"/>
    <w:rsid w:val="00E64AD3"/>
    <w:rsid w:val="00E80CFF"/>
    <w:rsid w:val="00E940DC"/>
    <w:rsid w:val="00EB211C"/>
    <w:rsid w:val="00EC03B6"/>
    <w:rsid w:val="00ED47C2"/>
    <w:rsid w:val="00EF1CB2"/>
    <w:rsid w:val="00EF57CD"/>
    <w:rsid w:val="00F20699"/>
    <w:rsid w:val="00F257CE"/>
    <w:rsid w:val="00F378C4"/>
    <w:rsid w:val="00F43BA1"/>
    <w:rsid w:val="00F468D1"/>
    <w:rsid w:val="00F62922"/>
    <w:rsid w:val="00F64DDA"/>
    <w:rsid w:val="00F7461E"/>
    <w:rsid w:val="00F84528"/>
    <w:rsid w:val="00F8489A"/>
    <w:rsid w:val="00F84D66"/>
    <w:rsid w:val="00F93AF8"/>
    <w:rsid w:val="00F96D0F"/>
    <w:rsid w:val="00F96D5C"/>
    <w:rsid w:val="00FA5A4C"/>
    <w:rsid w:val="00FA7A69"/>
    <w:rsid w:val="00FC0479"/>
    <w:rsid w:val="00FD1EEE"/>
    <w:rsid w:val="00FE13EC"/>
    <w:rsid w:val="00FF19B7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B7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D0F"/>
    <w:rPr>
      <w:sz w:val="24"/>
      <w:szCs w:val="24"/>
    </w:rPr>
  </w:style>
  <w:style w:type="paragraph" w:styleId="Heading1">
    <w:name w:val="heading 1"/>
    <w:basedOn w:val="Normal"/>
    <w:next w:val="Normal"/>
    <w:qFormat/>
    <w:rsid w:val="00DE76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3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66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77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43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3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043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C6AD9"/>
    <w:rPr>
      <w:b/>
      <w:bCs/>
    </w:rPr>
  </w:style>
  <w:style w:type="paragraph" w:customStyle="1" w:styleId="TitlePage">
    <w:name w:val="TitlePage"/>
    <w:basedOn w:val="Normal"/>
    <w:rsid w:val="00561A56"/>
    <w:pPr>
      <w:tabs>
        <w:tab w:val="left" w:pos="576"/>
      </w:tabs>
      <w:overflowPunct w:val="0"/>
      <w:autoSpaceDE w:val="0"/>
      <w:autoSpaceDN w:val="0"/>
      <w:adjustRightInd w:val="0"/>
      <w:spacing w:line="480" w:lineRule="atLeast"/>
      <w:jc w:val="center"/>
      <w:textAlignment w:val="baseline"/>
    </w:pPr>
    <w:rPr>
      <w:rFonts w:ascii="Courier New" w:hAnsi="Courier New"/>
      <w:szCs w:val="20"/>
    </w:rPr>
  </w:style>
  <w:style w:type="paragraph" w:customStyle="1" w:styleId="References">
    <w:name w:val="References"/>
    <w:basedOn w:val="Normal"/>
    <w:rsid w:val="00561A56"/>
    <w:pPr>
      <w:keepLines/>
      <w:widowControl w:val="0"/>
      <w:tabs>
        <w:tab w:val="left" w:pos="576"/>
      </w:tabs>
      <w:overflowPunct w:val="0"/>
      <w:autoSpaceDE w:val="0"/>
      <w:autoSpaceDN w:val="0"/>
      <w:adjustRightInd w:val="0"/>
      <w:spacing w:line="480" w:lineRule="atLeast"/>
      <w:ind w:left="720" w:hanging="720"/>
      <w:textAlignment w:val="baseline"/>
    </w:pPr>
    <w:rPr>
      <w:rFonts w:ascii="Courier New" w:hAnsi="Courier New"/>
      <w:szCs w:val="20"/>
    </w:rPr>
  </w:style>
  <w:style w:type="paragraph" w:styleId="BalloonText">
    <w:name w:val="Balloon Text"/>
    <w:basedOn w:val="Normal"/>
    <w:semiHidden/>
    <w:rsid w:val="00561A5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61A56"/>
  </w:style>
  <w:style w:type="paragraph" w:styleId="NormalWeb">
    <w:name w:val="Normal (Web)"/>
    <w:basedOn w:val="Normal"/>
    <w:uiPriority w:val="99"/>
    <w:unhideWhenUsed/>
    <w:rsid w:val="0070200D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106FDE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2F13"/>
    <w:rPr>
      <w:i/>
      <w:iCs/>
    </w:rPr>
  </w:style>
  <w:style w:type="character" w:customStyle="1" w:styleId="medium-normal">
    <w:name w:val="medium-normal"/>
    <w:basedOn w:val="DefaultParagraphFont"/>
    <w:rsid w:val="00A42F13"/>
  </w:style>
  <w:style w:type="character" w:styleId="PlaceholderText">
    <w:name w:val="Placeholder Text"/>
    <w:basedOn w:val="DefaultParagraphFont"/>
    <w:uiPriority w:val="99"/>
    <w:semiHidden/>
    <w:rsid w:val="0053493C"/>
    <w:rPr>
      <w:color w:val="808080"/>
    </w:rPr>
  </w:style>
  <w:style w:type="character" w:customStyle="1" w:styleId="Style1">
    <w:name w:val="Style1"/>
    <w:basedOn w:val="DefaultParagraphFont"/>
    <w:uiPriority w:val="1"/>
    <w:rsid w:val="00F96D5C"/>
  </w:style>
  <w:style w:type="character" w:styleId="FollowedHyperlink">
    <w:name w:val="FollowedHyperlink"/>
    <w:basedOn w:val="DefaultParagraphFont"/>
    <w:rsid w:val="0025625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026AA"/>
    <w:pPr>
      <w:ind w:left="720"/>
      <w:contextualSpacing/>
    </w:pPr>
  </w:style>
  <w:style w:type="paragraph" w:customStyle="1" w:styleId="text">
    <w:name w:val="text"/>
    <w:basedOn w:val="Normal"/>
    <w:rsid w:val="008D5C02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Blockquote">
    <w:name w:val="Blockquote"/>
    <w:basedOn w:val="Normal"/>
    <w:rsid w:val="00DD0C4D"/>
    <w:pPr>
      <w:spacing w:before="100" w:after="100"/>
      <w:ind w:left="360" w:right="360"/>
    </w:pPr>
    <w:rPr>
      <w:snapToGrid w:val="0"/>
      <w:szCs w:val="20"/>
    </w:rPr>
  </w:style>
  <w:style w:type="paragraph" w:styleId="BodyText">
    <w:name w:val="Body Text"/>
    <w:basedOn w:val="Normal"/>
    <w:link w:val="BodyTextChar"/>
    <w:rsid w:val="00DD0C4D"/>
    <w:pPr>
      <w:spacing w:after="120"/>
    </w:pPr>
    <w:rPr>
      <w:rFonts w:ascii="Book Antiqua" w:hAnsi="Book Antiqua"/>
    </w:rPr>
  </w:style>
  <w:style w:type="character" w:customStyle="1" w:styleId="BodyTextChar">
    <w:name w:val="Body Text Char"/>
    <w:basedOn w:val="DefaultParagraphFont"/>
    <w:link w:val="BodyText"/>
    <w:rsid w:val="00DD0C4D"/>
    <w:rPr>
      <w:rFonts w:ascii="Book Antiqua" w:hAnsi="Book Antiqua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1377D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itation">
    <w:name w:val="citation"/>
    <w:basedOn w:val="Normal"/>
    <w:rsid w:val="001377D4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40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C7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743D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D0108C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semiHidden/>
    <w:rsid w:val="007668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128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382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T\Downloads\BUS520%20Data%20and%20Scenarios%20(2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T\Downloads\BUS520%20Data%20and%20Scenarios%20(2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T\Downloads\BUS520%20Data%20and%20Scenarios%20(2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[BUS520 Data and Scenarios (2).xlsx]Sheet1!PivotTable1</c:name>
    <c:fmtId val="-1"/>
  </c:pivotSource>
  <c:chart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Sheet1!$A$1</c:f>
              <c:strCache>
                <c:ptCount val="1"/>
                <c:pt idx="0">
                  <c:v>Sum of Age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Total</c:v>
                </c:pt>
              </c:strCache>
            </c:strRef>
          </c:cat>
          <c:val>
            <c:numRef>
              <c:f>Sheet1!$A$2</c:f>
              <c:numCache>
                <c:formatCode>General</c:formatCode>
                <c:ptCount val="1"/>
                <c:pt idx="0">
                  <c:v>542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D5-4CCB-B2D6-BCB54A8369DC}"/>
            </c:ext>
          </c:extLst>
        </c:ser>
        <c:ser>
          <c:idx val="1"/>
          <c:order val="1"/>
          <c:tx>
            <c:strRef>
              <c:f>Sheet1!$B$1</c:f>
              <c:strCache>
                <c:ptCount val="1"/>
                <c:pt idx="0">
                  <c:v>Sum of Department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Total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466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D5-4CCB-B2D6-BCB54A8369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2753328"/>
        <c:axId val="282734128"/>
      </c:barChart>
      <c:catAx>
        <c:axId val="28275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2734128"/>
        <c:crosses val="autoZero"/>
        <c:auto val="1"/>
        <c:lblAlgn val="ctr"/>
        <c:lblOffset val="100"/>
        <c:noMultiLvlLbl val="0"/>
      </c:catAx>
      <c:valAx>
        <c:axId val="282734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2753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[BUS520 Data and Scenarios (2).xlsx]Sheet2!PivotTable2</c:name>
    <c:fmtId val="-1"/>
  </c:pivotSource>
  <c:chart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Sheet2!$A$1</c:f>
              <c:strCache>
                <c:ptCount val="1"/>
                <c:pt idx="0">
                  <c:v>Sum of Department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Sheet2!$A$2</c:f>
              <c:strCache>
                <c:ptCount val="1"/>
                <c:pt idx="0">
                  <c:v>Total</c:v>
                </c:pt>
              </c:strCache>
            </c:strRef>
          </c:cat>
          <c:val>
            <c:numRef>
              <c:f>Sheet2!$A$2</c:f>
              <c:numCache>
                <c:formatCode>General</c:formatCode>
                <c:ptCount val="1"/>
                <c:pt idx="0">
                  <c:v>466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A1-4A99-99E3-6CDAD472B702}"/>
            </c:ext>
          </c:extLst>
        </c:ser>
        <c:ser>
          <c:idx val="1"/>
          <c:order val="1"/>
          <c:tx>
            <c:strRef>
              <c:f>Sheet2!$B$1</c:f>
              <c:strCache>
                <c:ptCount val="1"/>
                <c:pt idx="0">
                  <c:v>Sum of Position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Sheet2!$A$2</c:f>
              <c:strCache>
                <c:ptCount val="1"/>
                <c:pt idx="0">
                  <c:v>Total</c:v>
                </c:pt>
              </c:strCache>
            </c:strRef>
          </c:cat>
          <c:val>
            <c:numRef>
              <c:f>Sheet2!$B$2</c:f>
              <c:numCache>
                <c:formatCode>General</c:formatCode>
                <c:ptCount val="1"/>
                <c:pt idx="0">
                  <c:v>391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A1-4A99-99E3-6CDAD472B7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2746608"/>
        <c:axId val="282758608"/>
      </c:barChart>
      <c:catAx>
        <c:axId val="28274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2758608"/>
        <c:crosses val="autoZero"/>
        <c:auto val="1"/>
        <c:lblAlgn val="ctr"/>
        <c:lblOffset val="100"/>
        <c:noMultiLvlLbl val="0"/>
      </c:catAx>
      <c:valAx>
        <c:axId val="282758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2746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[BUS520 Data and Scenarios (2).xlsx]Sheet3!PivotTable3</c:name>
    <c:fmtId val="-1"/>
  </c:pivotSource>
  <c:chart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Sheet3!$A$1</c:f>
              <c:strCache>
                <c:ptCount val="1"/>
                <c:pt idx="0">
                  <c:v>Sum of Position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Sheet3!$A$2</c:f>
              <c:strCache>
                <c:ptCount val="1"/>
                <c:pt idx="0">
                  <c:v>Total</c:v>
                </c:pt>
              </c:strCache>
            </c:strRef>
          </c:cat>
          <c:val>
            <c:numRef>
              <c:f>Sheet3!$A$2</c:f>
              <c:numCache>
                <c:formatCode>General</c:formatCode>
                <c:ptCount val="1"/>
                <c:pt idx="0">
                  <c:v>391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4C-4C1D-8817-63E6CD80AC97}"/>
            </c:ext>
          </c:extLst>
        </c:ser>
        <c:ser>
          <c:idx val="1"/>
          <c:order val="1"/>
          <c:tx>
            <c:strRef>
              <c:f>Sheet3!$B$1</c:f>
              <c:strCache>
                <c:ptCount val="1"/>
                <c:pt idx="0">
                  <c:v>Sum of Tenure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Sheet3!$A$2</c:f>
              <c:strCache>
                <c:ptCount val="1"/>
                <c:pt idx="0">
                  <c:v>Total</c:v>
                </c:pt>
              </c:strCache>
            </c:strRef>
          </c:cat>
          <c:val>
            <c:numRef>
              <c:f>Sheet3!$B$2</c:f>
              <c:numCache>
                <c:formatCode>General</c:formatCode>
                <c:ptCount val="1"/>
                <c:pt idx="0">
                  <c:v>458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4C-4C1D-8817-63E6CD80AC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2759568"/>
        <c:axId val="282768688"/>
      </c:barChart>
      <c:catAx>
        <c:axId val="282759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2768688"/>
        <c:crosses val="autoZero"/>
        <c:auto val="1"/>
        <c:lblAlgn val="ctr"/>
        <c:lblOffset val="100"/>
        <c:noMultiLvlLbl val="0"/>
      </c:catAx>
      <c:valAx>
        <c:axId val="282768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2759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1478</Words>
  <Characters>8428</Characters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2021-06-01T16:11:00Z</dcterms:created>
  <dcterms:modified xsi:type="dcterms:W3CDTF">2025-03-20T21:32:00Z</dcterms:modified>
</cp:coreProperties>
</file>