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067DCD" w14:textId="77777777" w:rsidR="00F468D1" w:rsidRPr="00B224B6" w:rsidRDefault="00F468D1" w:rsidP="00B224B6">
      <w:pPr>
        <w:spacing w:line="480" w:lineRule="auto"/>
        <w:ind w:firstLine="720"/>
        <w:jc w:val="center"/>
        <w:rPr>
          <w:b/>
          <w:bCs/>
        </w:rPr>
      </w:pPr>
    </w:p>
    <w:p w14:paraId="09AA434B" w14:textId="77777777" w:rsidR="00F468D1" w:rsidRPr="00B224B6" w:rsidRDefault="00F468D1" w:rsidP="00B224B6">
      <w:pPr>
        <w:spacing w:line="480" w:lineRule="auto"/>
        <w:ind w:firstLine="720"/>
        <w:jc w:val="center"/>
        <w:rPr>
          <w:b/>
          <w:bCs/>
        </w:rPr>
      </w:pPr>
    </w:p>
    <w:p w14:paraId="466FA396" w14:textId="77777777" w:rsidR="00F468D1" w:rsidRPr="00B224B6" w:rsidRDefault="00F468D1" w:rsidP="00B224B6">
      <w:pPr>
        <w:spacing w:line="480" w:lineRule="auto"/>
        <w:ind w:firstLine="720"/>
        <w:jc w:val="center"/>
        <w:rPr>
          <w:b/>
          <w:bCs/>
        </w:rPr>
      </w:pPr>
    </w:p>
    <w:p w14:paraId="0D8CF4B9" w14:textId="77777777" w:rsidR="00F468D1" w:rsidRPr="00B224B6" w:rsidRDefault="00F468D1" w:rsidP="00B224B6">
      <w:pPr>
        <w:spacing w:line="480" w:lineRule="auto"/>
        <w:ind w:firstLine="720"/>
        <w:jc w:val="center"/>
        <w:rPr>
          <w:b/>
          <w:bCs/>
        </w:rPr>
      </w:pPr>
    </w:p>
    <w:p w14:paraId="253C824D" w14:textId="2F26A9F2" w:rsidR="00286395" w:rsidRPr="00B224B6" w:rsidRDefault="00F378C4" w:rsidP="00F378C4">
      <w:pPr>
        <w:spacing w:line="480" w:lineRule="auto"/>
        <w:jc w:val="center"/>
        <w:rPr>
          <w:b/>
          <w:bCs/>
        </w:rPr>
      </w:pPr>
      <w:r>
        <w:rPr>
          <w:b/>
          <w:bCs/>
        </w:rPr>
        <w:t>BUS</w:t>
      </w:r>
      <w:r w:rsidR="002C7462">
        <w:rPr>
          <w:b/>
          <w:bCs/>
        </w:rPr>
        <w:t>5</w:t>
      </w:r>
      <w:r w:rsidR="002B6BFA">
        <w:rPr>
          <w:b/>
          <w:bCs/>
        </w:rPr>
        <w:t>20</w:t>
      </w:r>
      <w:r w:rsidR="003C7F15">
        <w:rPr>
          <w:b/>
          <w:bCs/>
        </w:rPr>
        <w:t xml:space="preserve"> </w:t>
      </w:r>
      <w:r w:rsidR="00352229">
        <w:rPr>
          <w:b/>
          <w:bCs/>
        </w:rPr>
        <w:t>Case</w:t>
      </w:r>
      <w:r w:rsidR="006624AB">
        <w:rPr>
          <w:b/>
          <w:bCs/>
        </w:rPr>
        <w:t xml:space="preserve"> </w:t>
      </w:r>
      <w:r w:rsidR="00E046B3">
        <w:rPr>
          <w:b/>
          <w:bCs/>
        </w:rPr>
        <w:t>1</w:t>
      </w:r>
    </w:p>
    <w:p w14:paraId="215330E4" w14:textId="77777777" w:rsidR="00286395" w:rsidRPr="00B224B6" w:rsidRDefault="00286395" w:rsidP="00B224B6">
      <w:pPr>
        <w:spacing w:line="480" w:lineRule="auto"/>
        <w:ind w:firstLine="720"/>
        <w:jc w:val="center"/>
      </w:pPr>
    </w:p>
    <w:p w14:paraId="0C9670E1" w14:textId="77777777" w:rsidR="00454CAF" w:rsidRDefault="00454CAF" w:rsidP="00F378C4">
      <w:pPr>
        <w:spacing w:line="480" w:lineRule="auto"/>
        <w:jc w:val="center"/>
      </w:pPr>
      <w:r>
        <w:t>Your Name</w:t>
      </w:r>
    </w:p>
    <w:p w14:paraId="02750D95" w14:textId="77777777" w:rsidR="00454CAF" w:rsidRDefault="00454CAF" w:rsidP="00F378C4">
      <w:pPr>
        <w:spacing w:line="480" w:lineRule="auto"/>
        <w:jc w:val="center"/>
      </w:pPr>
      <w:r>
        <w:t xml:space="preserve">Trident University International </w:t>
      </w:r>
    </w:p>
    <w:p w14:paraId="3002A249" w14:textId="77777777" w:rsidR="002C7462" w:rsidRDefault="002C7462" w:rsidP="00F378C4">
      <w:pPr>
        <w:spacing w:line="480" w:lineRule="auto"/>
        <w:jc w:val="center"/>
      </w:pPr>
      <w:r w:rsidRPr="002C7462">
        <w:t>BUS520 Business Analytics and Decision Making</w:t>
      </w:r>
    </w:p>
    <w:p w14:paraId="54C389E1" w14:textId="7A086B20" w:rsidR="00844EE7" w:rsidRPr="00B224B6" w:rsidRDefault="00454CAF" w:rsidP="00F378C4">
      <w:pPr>
        <w:spacing w:line="480" w:lineRule="auto"/>
        <w:jc w:val="center"/>
      </w:pPr>
      <w:r>
        <w:t>Due Date</w:t>
      </w:r>
    </w:p>
    <w:p w14:paraId="6C8D5EF8" w14:textId="56D46919" w:rsidR="003C7F15" w:rsidRPr="00B224B6" w:rsidRDefault="00352E8D" w:rsidP="003C7F15">
      <w:pPr>
        <w:spacing w:line="480" w:lineRule="auto"/>
        <w:jc w:val="center"/>
        <w:rPr>
          <w:b/>
          <w:bCs/>
        </w:rPr>
      </w:pPr>
      <w:r w:rsidRPr="00B224B6">
        <w:br w:type="page"/>
      </w:r>
    </w:p>
    <w:p w14:paraId="1DF862F2" w14:textId="2F6BA7EA" w:rsidR="00D200BF" w:rsidRDefault="00F378C4" w:rsidP="00B224B6">
      <w:pPr>
        <w:spacing w:line="480" w:lineRule="auto"/>
        <w:jc w:val="center"/>
        <w:rPr>
          <w:b/>
          <w:bCs/>
        </w:rPr>
      </w:pPr>
      <w:r>
        <w:rPr>
          <w:b/>
          <w:bCs/>
        </w:rPr>
        <w:lastRenderedPageBreak/>
        <w:t>BUS</w:t>
      </w:r>
      <w:r w:rsidR="002C7462">
        <w:rPr>
          <w:b/>
          <w:bCs/>
        </w:rPr>
        <w:t>520</w:t>
      </w:r>
      <w:r w:rsidR="003C7F15">
        <w:rPr>
          <w:b/>
          <w:bCs/>
        </w:rPr>
        <w:t xml:space="preserve"> </w:t>
      </w:r>
      <w:r w:rsidR="00352229">
        <w:rPr>
          <w:b/>
          <w:bCs/>
        </w:rPr>
        <w:t>Case</w:t>
      </w:r>
      <w:r w:rsidR="006624AB">
        <w:rPr>
          <w:b/>
          <w:bCs/>
        </w:rPr>
        <w:t xml:space="preserve"> </w:t>
      </w:r>
      <w:r w:rsidR="00E046B3">
        <w:rPr>
          <w:b/>
          <w:bCs/>
        </w:rPr>
        <w:t>1</w:t>
      </w:r>
    </w:p>
    <w:p w14:paraId="6F1C8DDE" w14:textId="0BBC53B0" w:rsidR="00730148" w:rsidRPr="00730148" w:rsidRDefault="00730148" w:rsidP="00730148">
      <w:pPr>
        <w:spacing w:line="480" w:lineRule="auto"/>
        <w:ind w:firstLine="720"/>
        <w:jc w:val="both"/>
      </w:pPr>
      <w:r>
        <w:t xml:space="preserve">The analysis tends to be related with the </w:t>
      </w:r>
      <w:r w:rsidRPr="00730148">
        <w:t>job satisfaction and its key determinants, including intrinsic and extrinsic motivation, as well as commitment</w:t>
      </w:r>
      <w:r>
        <w:t xml:space="preserve"> such as the </w:t>
      </w:r>
      <w:r w:rsidRPr="00730148">
        <w:t>data is sourced from a survey administered in a business context, aiming to evaluate how different factors such as employee tenure, gender, and department affiliation influence job satisfaction</w:t>
      </w:r>
      <w:r w:rsidR="007B4A94">
        <w:t xml:space="preserve"> (</w:t>
      </w:r>
      <w:r w:rsidR="007B4A94" w:rsidRPr="007B4A94">
        <w:rPr>
          <w:color w:val="000000"/>
        </w:rPr>
        <w:t>Deci, E. L., &amp; Ryan, R. M.</w:t>
      </w:r>
      <w:r w:rsidR="007B4A94">
        <w:rPr>
          <w:color w:val="000000"/>
        </w:rPr>
        <w:t>, 2021</w:t>
      </w:r>
      <w:r w:rsidR="007B4A94">
        <w:t>)</w:t>
      </w:r>
      <w:r w:rsidRPr="00730148">
        <w:t xml:space="preserve">. </w:t>
      </w:r>
      <w:r>
        <w:t xml:space="preserve">According to the dataset, it </w:t>
      </w:r>
      <w:proofErr w:type="gramStart"/>
      <w:r>
        <w:t>comprise</w:t>
      </w:r>
      <w:proofErr w:type="gramEnd"/>
      <w:r>
        <w:t xml:space="preserve"> of </w:t>
      </w:r>
      <w:r w:rsidRPr="00730148">
        <w:t xml:space="preserve">mode for key variables, offering a comprehensive view of the central tendencies and variations in job satisfaction, intrinsic and extrinsic motivations, and commitment levels. </w:t>
      </w:r>
      <w:r>
        <w:t xml:space="preserve">However, it also includes </w:t>
      </w:r>
      <w:proofErr w:type="gramStart"/>
      <w:r>
        <w:t xml:space="preserve">the </w:t>
      </w:r>
      <w:r w:rsidRPr="00730148">
        <w:t>survey</w:t>
      </w:r>
      <w:proofErr w:type="gramEnd"/>
      <w:r w:rsidRPr="00730148">
        <w:t xml:space="preserve"> responses, categorizing employees by demographic variables such as gender, age, department, position, and tenure, and capturing their self-reported levels of job satisfaction, intrinsic and extrinsic motivation, and commitment</w:t>
      </w:r>
      <w:r w:rsidR="007B4A94">
        <w:t xml:space="preserve"> (</w:t>
      </w:r>
      <w:r w:rsidR="007B4A94" w:rsidRPr="007B4A94">
        <w:rPr>
          <w:color w:val="000000"/>
        </w:rPr>
        <w:t>Herzberg, F.</w:t>
      </w:r>
      <w:r w:rsidR="007B4A94">
        <w:rPr>
          <w:color w:val="000000"/>
        </w:rPr>
        <w:t xml:space="preserve">, </w:t>
      </w:r>
      <w:r w:rsidR="007B4A94">
        <w:rPr>
          <w:color w:val="000000"/>
        </w:rPr>
        <w:t>2022</w:t>
      </w:r>
      <w:r w:rsidR="007B4A94">
        <w:t>)</w:t>
      </w:r>
      <w:r w:rsidRPr="00730148">
        <w:t>.</w:t>
      </w:r>
    </w:p>
    <w:p w14:paraId="357B729D" w14:textId="53AD3DE1" w:rsidR="00730148" w:rsidRPr="00730148" w:rsidRDefault="00730148" w:rsidP="00730148">
      <w:pPr>
        <w:spacing w:line="480" w:lineRule="auto"/>
        <w:ind w:firstLine="720"/>
        <w:jc w:val="both"/>
      </w:pPr>
      <w:r>
        <w:t>However, based on t</w:t>
      </w:r>
      <w:r w:rsidRPr="00730148">
        <w:t xml:space="preserve">hese data points </w:t>
      </w:r>
      <w:r>
        <w:t xml:space="preserve">which </w:t>
      </w:r>
      <w:r w:rsidRPr="00730148">
        <w:t>serve as a foundation for examining relationships between demographic factors and employee attitudes, providing valuable insights into how different intrinsic and extrinsic influences contribute to overall job satisfaction and commitment</w:t>
      </w:r>
      <w:r>
        <w:t xml:space="preserve"> such as b</w:t>
      </w:r>
      <w:r w:rsidRPr="00730148">
        <w:t>y analyzing this dataset, organizations can better understand the factors that drive employee engagement and satisfaction, ultimately fostering an environment that supports improved productivity and retention.</w:t>
      </w:r>
    </w:p>
    <w:p w14:paraId="0C329DCA" w14:textId="77777777" w:rsidR="006316E0" w:rsidRPr="00B224B6" w:rsidRDefault="006316E0" w:rsidP="006316E0">
      <w:pPr>
        <w:spacing w:line="480" w:lineRule="auto"/>
        <w:rPr>
          <w:b/>
          <w:bCs/>
        </w:rPr>
      </w:pPr>
    </w:p>
    <w:p w14:paraId="0CC407BF" w14:textId="20CB6F19" w:rsidR="00454CAF" w:rsidRDefault="002C7462" w:rsidP="00595B65">
      <w:pPr>
        <w:spacing w:line="480" w:lineRule="auto"/>
        <w:jc w:val="center"/>
        <w:rPr>
          <w:rFonts w:eastAsia="Calibri"/>
          <w:b/>
          <w:bCs/>
        </w:rPr>
      </w:pPr>
      <w:r>
        <w:rPr>
          <w:rFonts w:eastAsia="Calibri"/>
          <w:b/>
          <w:bCs/>
        </w:rPr>
        <w:t>Industry</w:t>
      </w:r>
      <w:r w:rsidR="00530A67">
        <w:rPr>
          <w:rFonts w:eastAsia="Calibri"/>
          <w:b/>
          <w:bCs/>
        </w:rPr>
        <w:t xml:space="preserve"> Overview</w:t>
      </w:r>
    </w:p>
    <w:p w14:paraId="0C9BCB82" w14:textId="31D17206" w:rsidR="00267298" w:rsidRDefault="00730148" w:rsidP="00730148">
      <w:pPr>
        <w:spacing w:line="480" w:lineRule="auto"/>
        <w:jc w:val="both"/>
        <w:rPr>
          <w:rFonts w:eastAsia="Calibri"/>
        </w:rPr>
      </w:pPr>
      <w:r w:rsidRPr="00730148">
        <w:rPr>
          <w:rFonts w:eastAsia="Calibri"/>
          <w:b/>
          <w:bCs/>
        </w:rPr>
        <w:t>​</w:t>
      </w:r>
      <w:r>
        <w:rPr>
          <w:rFonts w:eastAsia="Calibri"/>
          <w:b/>
          <w:bCs/>
        </w:rPr>
        <w:tab/>
      </w:r>
      <w:r>
        <w:rPr>
          <w:rFonts w:eastAsia="Calibri"/>
        </w:rPr>
        <w:t xml:space="preserve">As per the analysis, </w:t>
      </w:r>
      <w:r w:rsidRPr="00730148">
        <w:rPr>
          <w:rFonts w:eastAsia="Calibri"/>
        </w:rPr>
        <w:t>dataset provided offers a comprehensive analysis of employee satisfaction within an organization, focusing on intrinsic and extrinsic motivators, as well as commitment levels</w:t>
      </w:r>
      <w:r>
        <w:rPr>
          <w:rFonts w:eastAsia="Calibri"/>
        </w:rPr>
        <w:t xml:space="preserve"> such as b</w:t>
      </w:r>
      <w:r w:rsidRPr="00730148">
        <w:rPr>
          <w:rFonts w:eastAsia="Calibri"/>
        </w:rPr>
        <w:t>y examining the interplay of these factors, organizations can gain valuable insights into employee engagement and identify areas for improvement.​</w:t>
      </w:r>
      <w:r>
        <w:rPr>
          <w:rFonts w:eastAsia="Calibri"/>
        </w:rPr>
        <w:t xml:space="preserve"> According to </w:t>
      </w:r>
      <w:r>
        <w:rPr>
          <w:rFonts w:eastAsia="Calibri"/>
        </w:rPr>
        <w:lastRenderedPageBreak/>
        <w:t xml:space="preserve">the </w:t>
      </w:r>
      <w:r w:rsidRPr="00730148">
        <w:rPr>
          <w:rFonts w:eastAsia="Calibri"/>
        </w:rPr>
        <w:t xml:space="preserve">Intrinsic motivation </w:t>
      </w:r>
      <w:r>
        <w:rPr>
          <w:rFonts w:eastAsia="Calibri"/>
        </w:rPr>
        <w:t xml:space="preserve">which </w:t>
      </w:r>
      <w:r w:rsidRPr="00730148">
        <w:rPr>
          <w:rFonts w:eastAsia="Calibri"/>
        </w:rPr>
        <w:t xml:space="preserve">refers to engaging in activities for their inherent satisfaction, while extrinsic motivation involves performing tasks to achieve external rewards or avoid negative outcomes. </w:t>
      </w:r>
      <w:r>
        <w:rPr>
          <w:rFonts w:eastAsia="Calibri"/>
        </w:rPr>
        <w:t xml:space="preserve">In accordance with the </w:t>
      </w:r>
      <w:proofErr w:type="gramStart"/>
      <w:r w:rsidRPr="00730148">
        <w:rPr>
          <w:rFonts w:eastAsia="Calibri"/>
        </w:rPr>
        <w:t>dataset</w:t>
      </w:r>
      <w:proofErr w:type="gramEnd"/>
      <w:r w:rsidRPr="00730148">
        <w:rPr>
          <w:rFonts w:eastAsia="Calibri"/>
        </w:rPr>
        <w:t xml:space="preserve"> </w:t>
      </w:r>
      <w:r>
        <w:rPr>
          <w:rFonts w:eastAsia="Calibri"/>
        </w:rPr>
        <w:t xml:space="preserve">which </w:t>
      </w:r>
      <w:r w:rsidRPr="00730148">
        <w:rPr>
          <w:rFonts w:eastAsia="Calibri"/>
        </w:rPr>
        <w:t>presents mean scores for both intrinsic (Mean = 3.656767) and extrinsic (Mean = 4.42218) motivations, indicating that employees may derive more satisfaction from external rewards or recognition.​</w:t>
      </w:r>
      <w:r>
        <w:rPr>
          <w:rFonts w:eastAsia="Calibri"/>
        </w:rPr>
        <w:t xml:space="preserve"> </w:t>
      </w:r>
      <w:proofErr w:type="spellStart"/>
      <w:r>
        <w:rPr>
          <w:rFonts w:eastAsia="Calibri"/>
        </w:rPr>
        <w:t>Nevethtless</w:t>
      </w:r>
      <w:proofErr w:type="spellEnd"/>
      <w:r>
        <w:rPr>
          <w:rFonts w:eastAsia="Calibri"/>
        </w:rPr>
        <w:t xml:space="preserve">, it also tends to comprise of </w:t>
      </w:r>
      <w:r w:rsidRPr="00730148">
        <w:rPr>
          <w:rFonts w:eastAsia="Calibri"/>
        </w:rPr>
        <w:t xml:space="preserve">Job satisfaction </w:t>
      </w:r>
      <w:r>
        <w:rPr>
          <w:rFonts w:eastAsia="Calibri"/>
        </w:rPr>
        <w:t xml:space="preserve">which </w:t>
      </w:r>
      <w:r w:rsidRPr="00730148">
        <w:rPr>
          <w:rFonts w:eastAsia="Calibri"/>
        </w:rPr>
        <w:t xml:space="preserve">multifaceted construct influenced by various factors, including the nature of the work, compensation, work environment, and relationships with colleagues and supervisors. </w:t>
      </w:r>
      <w:proofErr w:type="spellStart"/>
      <w:r w:rsidR="00267298">
        <w:rPr>
          <w:rFonts w:eastAsia="Calibri"/>
        </w:rPr>
        <w:t>Addiotnally</w:t>
      </w:r>
      <w:proofErr w:type="spellEnd"/>
      <w:r w:rsidR="00267298">
        <w:rPr>
          <w:rFonts w:eastAsia="Calibri"/>
        </w:rPr>
        <w:t xml:space="preserve">, on the basis of that the </w:t>
      </w:r>
      <w:r w:rsidRPr="00730148">
        <w:rPr>
          <w:rFonts w:eastAsia="Calibri"/>
        </w:rPr>
        <w:t>dataset reports a mean job satisfaction score of 3.656767, suggesting a moderate level of contentment among employees</w:t>
      </w:r>
      <w:r w:rsidR="007B4A94">
        <w:rPr>
          <w:rFonts w:eastAsia="Calibri"/>
        </w:rPr>
        <w:t xml:space="preserve"> </w:t>
      </w:r>
      <w:r w:rsidR="007B4A94">
        <w:rPr>
          <w:rFonts w:eastAsia="Calibri"/>
        </w:rPr>
        <w:t>(</w:t>
      </w:r>
      <w:r w:rsidR="007B4A94" w:rsidRPr="007B4A94">
        <w:rPr>
          <w:color w:val="000000"/>
        </w:rPr>
        <w:t>Meyer, J. P., &amp; Allen, N</w:t>
      </w:r>
      <w:proofErr w:type="gramStart"/>
      <w:r w:rsidR="007B4A94" w:rsidRPr="007B4A94">
        <w:rPr>
          <w:color w:val="000000"/>
        </w:rPr>
        <w:t>. J</w:t>
      </w:r>
      <w:proofErr w:type="gramEnd"/>
      <w:r w:rsidR="007B4A94" w:rsidRPr="007B4A94">
        <w:rPr>
          <w:color w:val="000000"/>
        </w:rPr>
        <w:t>.</w:t>
      </w:r>
      <w:r w:rsidR="007B4A94">
        <w:rPr>
          <w:color w:val="000000"/>
        </w:rPr>
        <w:t>, 2022</w:t>
      </w:r>
      <w:r w:rsidR="007B4A94">
        <w:rPr>
          <w:rFonts w:eastAsia="Calibri"/>
        </w:rPr>
        <w:t>)</w:t>
      </w:r>
      <w:r w:rsidRPr="00730148">
        <w:rPr>
          <w:rFonts w:eastAsia="Calibri"/>
        </w:rPr>
        <w:t>.</w:t>
      </w:r>
    </w:p>
    <w:p w14:paraId="1E4D42E0" w14:textId="2CFAC0A7" w:rsidR="00730148" w:rsidRPr="00730148" w:rsidRDefault="00267298" w:rsidP="00267298">
      <w:pPr>
        <w:spacing w:line="480" w:lineRule="auto"/>
        <w:ind w:firstLine="720"/>
        <w:jc w:val="both"/>
        <w:rPr>
          <w:rFonts w:eastAsia="Calibri"/>
        </w:rPr>
      </w:pPr>
      <w:r>
        <w:rPr>
          <w:rFonts w:eastAsia="Calibri"/>
        </w:rPr>
        <w:t xml:space="preserve">It tends to be </w:t>
      </w:r>
      <w:proofErr w:type="spellStart"/>
      <w:r>
        <w:rPr>
          <w:rFonts w:eastAsia="Calibri"/>
        </w:rPr>
        <w:t>analysed</w:t>
      </w:r>
      <w:proofErr w:type="spellEnd"/>
      <w:r>
        <w:rPr>
          <w:rFonts w:eastAsia="Calibri"/>
        </w:rPr>
        <w:t xml:space="preserve"> from the results that the e</w:t>
      </w:r>
      <w:r w:rsidR="00730148" w:rsidRPr="00730148">
        <w:rPr>
          <w:rFonts w:eastAsia="Calibri"/>
        </w:rPr>
        <w:t>mployee commitment encompasses emotional attachment, identification with the organization, and a willingness to exert effort on its behalf</w:t>
      </w:r>
      <w:r>
        <w:rPr>
          <w:rFonts w:eastAsia="Calibri"/>
        </w:rPr>
        <w:t xml:space="preserve"> such as the </w:t>
      </w:r>
      <w:r w:rsidR="00730148" w:rsidRPr="00730148">
        <w:rPr>
          <w:rFonts w:eastAsia="Calibri"/>
        </w:rPr>
        <w:t>dataset indicates a mean commitment score of 4.093609, highlighting a relatively high level of dedication among employees</w:t>
      </w:r>
      <w:r>
        <w:rPr>
          <w:rFonts w:eastAsia="Calibri"/>
        </w:rPr>
        <w:t xml:space="preserve"> and t</w:t>
      </w:r>
      <w:r w:rsidR="00730148" w:rsidRPr="00730148">
        <w:rPr>
          <w:rFonts w:eastAsia="Calibri"/>
        </w:rPr>
        <w:t>his positive commitment may contribute to improved performance and reduced turnover rates</w:t>
      </w:r>
      <w:r w:rsidR="007B4A94">
        <w:rPr>
          <w:rFonts w:eastAsia="Calibri"/>
        </w:rPr>
        <w:t xml:space="preserve"> (</w:t>
      </w:r>
      <w:r w:rsidR="007B4A94" w:rsidRPr="007B4A94">
        <w:rPr>
          <w:color w:val="000000"/>
        </w:rPr>
        <w:t>Robbins, S. P., &amp; Judge, T. A.</w:t>
      </w:r>
      <w:r w:rsidR="007B4A94">
        <w:rPr>
          <w:color w:val="000000"/>
        </w:rPr>
        <w:t xml:space="preserve">, </w:t>
      </w:r>
      <w:r w:rsidR="007B4A94" w:rsidRPr="007B4A94">
        <w:rPr>
          <w:color w:val="000000"/>
        </w:rPr>
        <w:t>2022</w:t>
      </w:r>
      <w:r w:rsidR="007B4A94">
        <w:rPr>
          <w:rFonts w:eastAsia="Calibri"/>
        </w:rPr>
        <w:t>)</w:t>
      </w:r>
      <w:r w:rsidR="00730148" w:rsidRPr="00730148">
        <w:rPr>
          <w:rFonts w:eastAsia="Calibri"/>
        </w:rPr>
        <w:t>.​</w:t>
      </w:r>
      <w:r>
        <w:rPr>
          <w:rFonts w:eastAsia="Calibri"/>
        </w:rPr>
        <w:t xml:space="preserve"> Based on the </w:t>
      </w:r>
      <w:r w:rsidR="00730148" w:rsidRPr="00730148">
        <w:rPr>
          <w:rFonts w:eastAsia="Calibri"/>
        </w:rPr>
        <w:t>statistical measures, including standard errors, medians, and modes for each factor</w:t>
      </w:r>
      <w:r>
        <w:rPr>
          <w:rFonts w:eastAsia="Calibri"/>
        </w:rPr>
        <w:t xml:space="preserve"> and t</w:t>
      </w:r>
      <w:r w:rsidR="00730148" w:rsidRPr="00730148">
        <w:rPr>
          <w:rFonts w:eastAsia="Calibri"/>
        </w:rPr>
        <w:t>hese measures offer deeper insights into the distribution and variability of responses, aiding in the identification of patterns and anomalies</w:t>
      </w:r>
      <w:r w:rsidR="007B4A94">
        <w:rPr>
          <w:rFonts w:eastAsia="Calibri"/>
        </w:rPr>
        <w:t xml:space="preserve"> </w:t>
      </w:r>
      <w:r w:rsidR="007B4A94">
        <w:t>(</w:t>
      </w:r>
      <w:r w:rsidR="007B4A94" w:rsidRPr="007B4A94">
        <w:rPr>
          <w:color w:val="000000"/>
        </w:rPr>
        <w:t>Herzberg, F.</w:t>
      </w:r>
      <w:r w:rsidR="007B4A94">
        <w:rPr>
          <w:color w:val="000000"/>
        </w:rPr>
        <w:t>, 2022</w:t>
      </w:r>
      <w:r w:rsidR="007B4A94">
        <w:t>)</w:t>
      </w:r>
      <w:r w:rsidR="00730148" w:rsidRPr="00730148">
        <w:rPr>
          <w:rFonts w:eastAsia="Calibri"/>
        </w:rPr>
        <w:t>.​</w:t>
      </w:r>
      <w:r>
        <w:rPr>
          <w:rFonts w:eastAsia="Calibri"/>
        </w:rPr>
        <w:t xml:space="preserve"> In accordance with the </w:t>
      </w:r>
      <w:r w:rsidR="00730148" w:rsidRPr="00730148">
        <w:rPr>
          <w:rFonts w:eastAsia="Calibri"/>
        </w:rPr>
        <w:t xml:space="preserve">data </w:t>
      </w:r>
      <w:r>
        <w:rPr>
          <w:rFonts w:eastAsia="Calibri"/>
        </w:rPr>
        <w:t xml:space="preserve">which </w:t>
      </w:r>
      <w:r w:rsidR="00730148" w:rsidRPr="00730148">
        <w:rPr>
          <w:rFonts w:eastAsia="Calibri"/>
        </w:rPr>
        <w:t>reveals variations in motivation, satisfaction, and commitment across different groups</w:t>
      </w:r>
      <w:r>
        <w:rPr>
          <w:rFonts w:eastAsia="Calibri"/>
        </w:rPr>
        <w:t xml:space="preserve"> such as the </w:t>
      </w:r>
      <w:r w:rsidR="00730148" w:rsidRPr="00730148">
        <w:rPr>
          <w:rFonts w:eastAsia="Calibri"/>
        </w:rPr>
        <w:t>dataset includes variables</w:t>
      </w:r>
      <w:r>
        <w:rPr>
          <w:rFonts w:eastAsia="Calibri"/>
        </w:rPr>
        <w:t xml:space="preserve"> </w:t>
      </w:r>
      <w:r w:rsidR="00730148" w:rsidRPr="00730148">
        <w:rPr>
          <w:rFonts w:eastAsia="Calibri"/>
        </w:rPr>
        <w:t>gender, age, department, position, and tenure, allowing for a nuanced understanding of how these factors influence employee perceptions and experiences</w:t>
      </w:r>
      <w:r w:rsidR="007B4A94">
        <w:rPr>
          <w:rFonts w:eastAsia="Calibri"/>
        </w:rPr>
        <w:t xml:space="preserve"> </w:t>
      </w:r>
      <w:r w:rsidR="007B4A94">
        <w:rPr>
          <w:rFonts w:eastAsia="Calibri"/>
        </w:rPr>
        <w:t>(</w:t>
      </w:r>
      <w:r w:rsidR="007B4A94" w:rsidRPr="007B4A94">
        <w:rPr>
          <w:color w:val="000000"/>
        </w:rPr>
        <w:t>Locke, E. A.</w:t>
      </w:r>
      <w:r w:rsidR="007B4A94">
        <w:rPr>
          <w:color w:val="000000"/>
        </w:rPr>
        <w:t>, 2023</w:t>
      </w:r>
      <w:r w:rsidR="007B4A94">
        <w:rPr>
          <w:rFonts w:eastAsia="Calibri"/>
        </w:rPr>
        <w:t>)</w:t>
      </w:r>
      <w:r w:rsidR="00730148" w:rsidRPr="00730148">
        <w:rPr>
          <w:rFonts w:eastAsia="Calibri"/>
        </w:rPr>
        <w:t>.</w:t>
      </w:r>
    </w:p>
    <w:p w14:paraId="649871ED" w14:textId="77777777" w:rsidR="00730148" w:rsidRPr="00454CAF" w:rsidRDefault="00730148" w:rsidP="00730148">
      <w:pPr>
        <w:spacing w:line="480" w:lineRule="auto"/>
        <w:rPr>
          <w:rFonts w:eastAsia="Calibri"/>
          <w:b/>
          <w:bCs/>
        </w:rPr>
      </w:pPr>
    </w:p>
    <w:p w14:paraId="565EC1F9" w14:textId="0B607074" w:rsidR="00530A67" w:rsidRPr="00454CAF" w:rsidRDefault="00DE1A4A" w:rsidP="00530A67">
      <w:pPr>
        <w:spacing w:line="480" w:lineRule="auto"/>
        <w:jc w:val="center"/>
        <w:rPr>
          <w:rFonts w:eastAsia="Calibri"/>
          <w:b/>
          <w:bCs/>
        </w:rPr>
      </w:pPr>
      <w:r>
        <w:rPr>
          <w:rFonts w:eastAsia="Calibri"/>
          <w:b/>
          <w:bCs/>
        </w:rPr>
        <w:lastRenderedPageBreak/>
        <w:t>Histogram Analysis</w:t>
      </w:r>
    </w:p>
    <w:p w14:paraId="122FBCDC" w14:textId="112FA0B8" w:rsidR="00267298" w:rsidRDefault="00267298" w:rsidP="00267298">
      <w:pPr>
        <w:spacing w:line="480" w:lineRule="auto"/>
        <w:ind w:firstLine="720"/>
        <w:jc w:val="center"/>
        <w:rPr>
          <w:rFonts w:eastAsia="Calibri"/>
        </w:rPr>
      </w:pPr>
      <w:r>
        <w:rPr>
          <w:noProof/>
        </w:rPr>
        <w:drawing>
          <wp:inline distT="0" distB="0" distL="0" distR="0" wp14:anchorId="6B357D18" wp14:editId="7E0D0224">
            <wp:extent cx="4572000" cy="2743200"/>
            <wp:effectExtent l="0" t="0" r="0" b="0"/>
            <wp:docPr id="1793725378" name="Chart 1">
              <a:extLst xmlns:a="http://schemas.openxmlformats.org/drawingml/2006/main">
                <a:ext uri="{FF2B5EF4-FFF2-40B4-BE49-F238E27FC236}">
                  <a16:creationId xmlns:a16="http://schemas.microsoft.com/office/drawing/2014/main" id="{791716B2-2A76-E4C2-EF96-E6CFCA70AF9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3364AD7" w14:textId="468BB5F5" w:rsidR="00267298" w:rsidRDefault="00267298" w:rsidP="00267298">
      <w:pPr>
        <w:spacing w:line="480" w:lineRule="auto"/>
        <w:rPr>
          <w:rFonts w:eastAsia="Calibri"/>
        </w:rPr>
      </w:pPr>
      <w:r>
        <w:rPr>
          <w:rFonts w:eastAsia="Calibri"/>
        </w:rPr>
        <w:t xml:space="preserve">Figure 1: Gender analysis </w:t>
      </w:r>
    </w:p>
    <w:p w14:paraId="6BFD3056" w14:textId="77777777" w:rsidR="00267298" w:rsidRDefault="00267298" w:rsidP="00267298">
      <w:pPr>
        <w:spacing w:line="480" w:lineRule="auto"/>
        <w:ind w:firstLine="720"/>
        <w:rPr>
          <w:rFonts w:eastAsia="Calibri"/>
        </w:rPr>
      </w:pPr>
    </w:p>
    <w:p w14:paraId="5EE6B3A2" w14:textId="67994218" w:rsidR="00267298" w:rsidRDefault="00267298" w:rsidP="00267298">
      <w:pPr>
        <w:spacing w:line="480" w:lineRule="auto"/>
        <w:ind w:firstLine="720"/>
        <w:jc w:val="center"/>
        <w:rPr>
          <w:rFonts w:eastAsia="Calibri"/>
        </w:rPr>
      </w:pPr>
      <w:r>
        <w:rPr>
          <w:noProof/>
        </w:rPr>
        <w:drawing>
          <wp:inline distT="0" distB="0" distL="0" distR="0" wp14:anchorId="7D898308" wp14:editId="1F74D4D3">
            <wp:extent cx="4572000" cy="2743200"/>
            <wp:effectExtent l="0" t="0" r="0" b="0"/>
            <wp:docPr id="314865891" name="Chart 1">
              <a:extLst xmlns:a="http://schemas.openxmlformats.org/drawingml/2006/main">
                <a:ext uri="{FF2B5EF4-FFF2-40B4-BE49-F238E27FC236}">
                  <a16:creationId xmlns:a16="http://schemas.microsoft.com/office/drawing/2014/main" id="{0196EC0E-D412-3161-11D6-881DD87A00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2D3E0F" w14:textId="546668AE" w:rsidR="00267298" w:rsidRDefault="00267298" w:rsidP="00267298">
      <w:pPr>
        <w:spacing w:line="480" w:lineRule="auto"/>
        <w:rPr>
          <w:rFonts w:eastAsia="Calibri"/>
        </w:rPr>
      </w:pPr>
      <w:r>
        <w:rPr>
          <w:rFonts w:eastAsia="Calibri"/>
        </w:rPr>
        <w:t>Figure 2: Age Analysis</w:t>
      </w:r>
    </w:p>
    <w:p w14:paraId="37D276E9" w14:textId="77777777" w:rsidR="00267298" w:rsidRDefault="00267298" w:rsidP="00267298">
      <w:pPr>
        <w:spacing w:line="480" w:lineRule="auto"/>
        <w:rPr>
          <w:rFonts w:eastAsia="Calibri"/>
        </w:rPr>
      </w:pPr>
    </w:p>
    <w:p w14:paraId="51B4C34E" w14:textId="2D26AF93" w:rsidR="00267298" w:rsidRDefault="00267298" w:rsidP="00267298">
      <w:pPr>
        <w:spacing w:line="480" w:lineRule="auto"/>
        <w:jc w:val="center"/>
        <w:rPr>
          <w:rFonts w:eastAsia="Calibri"/>
        </w:rPr>
      </w:pPr>
      <w:r>
        <w:rPr>
          <w:noProof/>
        </w:rPr>
        <w:lastRenderedPageBreak/>
        <w:drawing>
          <wp:inline distT="0" distB="0" distL="0" distR="0" wp14:anchorId="402A68ED" wp14:editId="360833B9">
            <wp:extent cx="4572000" cy="2743200"/>
            <wp:effectExtent l="0" t="0" r="0" b="0"/>
            <wp:docPr id="365415730" name="Chart 1">
              <a:extLst xmlns:a="http://schemas.openxmlformats.org/drawingml/2006/main">
                <a:ext uri="{FF2B5EF4-FFF2-40B4-BE49-F238E27FC236}">
                  <a16:creationId xmlns:a16="http://schemas.microsoft.com/office/drawing/2014/main" id="{B7040F7B-452F-15F2-8321-83FE7BA5252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52A1ABFD" w14:textId="2E667E02" w:rsidR="00267298" w:rsidRDefault="00267298" w:rsidP="00267298">
      <w:pPr>
        <w:spacing w:line="480" w:lineRule="auto"/>
        <w:rPr>
          <w:rFonts w:eastAsia="Calibri"/>
        </w:rPr>
      </w:pPr>
      <w:r>
        <w:rPr>
          <w:rFonts w:eastAsia="Calibri"/>
        </w:rPr>
        <w:t xml:space="preserve">Figure 3: </w:t>
      </w:r>
      <w:proofErr w:type="spellStart"/>
      <w:r>
        <w:rPr>
          <w:rFonts w:eastAsia="Calibri"/>
        </w:rPr>
        <w:t>Departement</w:t>
      </w:r>
      <w:proofErr w:type="spellEnd"/>
      <w:r>
        <w:rPr>
          <w:rFonts w:eastAsia="Calibri"/>
        </w:rPr>
        <w:t xml:space="preserve"> analysis </w:t>
      </w:r>
    </w:p>
    <w:p w14:paraId="794C6A8D" w14:textId="77777777" w:rsidR="00267298" w:rsidRDefault="00267298" w:rsidP="00267298">
      <w:pPr>
        <w:spacing w:line="480" w:lineRule="auto"/>
        <w:rPr>
          <w:rFonts w:eastAsia="Calibri"/>
        </w:rPr>
      </w:pPr>
    </w:p>
    <w:p w14:paraId="43921AEB" w14:textId="2C3E49AF" w:rsidR="00267298" w:rsidRDefault="00267298" w:rsidP="00267298">
      <w:pPr>
        <w:spacing w:line="480" w:lineRule="auto"/>
        <w:jc w:val="center"/>
        <w:rPr>
          <w:rFonts w:eastAsia="Calibri"/>
        </w:rPr>
      </w:pPr>
      <w:r>
        <w:rPr>
          <w:noProof/>
        </w:rPr>
        <w:drawing>
          <wp:inline distT="0" distB="0" distL="0" distR="0" wp14:anchorId="6C9D8D2C" wp14:editId="733DBF93">
            <wp:extent cx="4572000" cy="2743200"/>
            <wp:effectExtent l="0" t="0" r="0" b="0"/>
            <wp:docPr id="1385089016" name="Chart 1">
              <a:extLst xmlns:a="http://schemas.openxmlformats.org/drawingml/2006/main">
                <a:ext uri="{FF2B5EF4-FFF2-40B4-BE49-F238E27FC236}">
                  <a16:creationId xmlns:a16="http://schemas.microsoft.com/office/drawing/2014/main" id="{B53CE1B8-AB61-574B-6562-D7587A5F2D4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4543127" w14:textId="5147C392" w:rsidR="00267298" w:rsidRDefault="00267298" w:rsidP="00267298">
      <w:pPr>
        <w:spacing w:line="480" w:lineRule="auto"/>
        <w:rPr>
          <w:rFonts w:eastAsia="Calibri"/>
        </w:rPr>
      </w:pPr>
      <w:r>
        <w:rPr>
          <w:rFonts w:eastAsia="Calibri"/>
        </w:rPr>
        <w:t xml:space="preserve">Figure 4: Position analysis </w:t>
      </w:r>
    </w:p>
    <w:p w14:paraId="663A4094" w14:textId="77777777" w:rsidR="00267298" w:rsidRDefault="00267298" w:rsidP="00267298">
      <w:pPr>
        <w:spacing w:line="480" w:lineRule="auto"/>
        <w:rPr>
          <w:rFonts w:eastAsia="Calibri"/>
        </w:rPr>
      </w:pPr>
    </w:p>
    <w:p w14:paraId="320B92A4" w14:textId="50E7855C" w:rsidR="00267298" w:rsidRDefault="00267298" w:rsidP="00267298">
      <w:pPr>
        <w:spacing w:line="480" w:lineRule="auto"/>
        <w:jc w:val="center"/>
        <w:rPr>
          <w:rFonts w:eastAsia="Calibri"/>
        </w:rPr>
      </w:pPr>
      <w:r>
        <w:rPr>
          <w:noProof/>
        </w:rPr>
        <w:lastRenderedPageBreak/>
        <w:drawing>
          <wp:inline distT="0" distB="0" distL="0" distR="0" wp14:anchorId="5CF4039F" wp14:editId="183BC581">
            <wp:extent cx="4572000" cy="2743200"/>
            <wp:effectExtent l="0" t="0" r="0" b="0"/>
            <wp:docPr id="290805111" name="Chart 1">
              <a:extLst xmlns:a="http://schemas.openxmlformats.org/drawingml/2006/main">
                <a:ext uri="{FF2B5EF4-FFF2-40B4-BE49-F238E27FC236}">
                  <a16:creationId xmlns:a16="http://schemas.microsoft.com/office/drawing/2014/main" id="{11AC216A-D9FD-F570-5EC7-8997CD8EAF9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E4E5DEC" w14:textId="704B416C" w:rsidR="00267298" w:rsidRDefault="00267298" w:rsidP="00267298">
      <w:pPr>
        <w:spacing w:line="480" w:lineRule="auto"/>
        <w:rPr>
          <w:rFonts w:eastAsia="Calibri"/>
        </w:rPr>
      </w:pPr>
      <w:r>
        <w:rPr>
          <w:rFonts w:eastAsia="Calibri"/>
        </w:rPr>
        <w:t xml:space="preserve">Figure </w:t>
      </w:r>
      <w:proofErr w:type="gramStart"/>
      <w:r>
        <w:rPr>
          <w:rFonts w:eastAsia="Calibri"/>
        </w:rPr>
        <w:t>5:Tenure</w:t>
      </w:r>
      <w:proofErr w:type="gramEnd"/>
      <w:r>
        <w:rPr>
          <w:rFonts w:eastAsia="Calibri"/>
        </w:rPr>
        <w:t xml:space="preserve"> with company </w:t>
      </w:r>
    </w:p>
    <w:p w14:paraId="08149C75" w14:textId="455B76B5" w:rsidR="00267298" w:rsidRPr="00267298" w:rsidRDefault="00267298" w:rsidP="006A4175">
      <w:pPr>
        <w:spacing w:line="480" w:lineRule="auto"/>
        <w:ind w:firstLine="720"/>
        <w:jc w:val="both"/>
        <w:rPr>
          <w:rFonts w:eastAsia="Calibri"/>
        </w:rPr>
      </w:pPr>
      <w:r w:rsidRPr="006A4175">
        <w:rPr>
          <w:rFonts w:eastAsia="Calibri"/>
        </w:rPr>
        <w:t xml:space="preserve">As per the study, </w:t>
      </w:r>
      <w:proofErr w:type="gramStart"/>
      <w:r w:rsidRPr="00267298">
        <w:rPr>
          <w:rFonts w:eastAsia="Calibri"/>
        </w:rPr>
        <w:t>skewness</w:t>
      </w:r>
      <w:proofErr w:type="gramEnd"/>
      <w:r w:rsidRPr="00267298">
        <w:rPr>
          <w:rFonts w:eastAsia="Calibri"/>
        </w:rPr>
        <w:t xml:space="preserve"> of job satisfaction is reported as 0.92, which indicates a positive skew</w:t>
      </w:r>
      <w:r w:rsidR="006A4175">
        <w:rPr>
          <w:rFonts w:eastAsia="Calibri"/>
        </w:rPr>
        <w:t xml:space="preserve"> and t</w:t>
      </w:r>
      <w:r w:rsidRPr="00267298">
        <w:rPr>
          <w:rFonts w:eastAsia="Calibri"/>
        </w:rPr>
        <w:t xml:space="preserve">his suggests that more respondents are clustered toward the lower end of the satisfaction scale, with fewer people rating their job satisfaction highly. </w:t>
      </w:r>
      <w:r w:rsidR="006A4175">
        <w:rPr>
          <w:rFonts w:eastAsia="Calibri"/>
        </w:rPr>
        <w:t xml:space="preserve">According to the </w:t>
      </w:r>
      <w:r w:rsidRPr="00267298">
        <w:rPr>
          <w:rFonts w:eastAsia="Calibri"/>
        </w:rPr>
        <w:t>skewness value of 0.92 implies that the tail on the right side (higher satisfaction) is longer than the left side, meaning that while many employees report moderate to low satisfaction, there are a few highly satisfied individuals</w:t>
      </w:r>
      <w:r w:rsidR="007B4A94">
        <w:rPr>
          <w:rFonts w:eastAsia="Calibri"/>
        </w:rPr>
        <w:t xml:space="preserve"> </w:t>
      </w:r>
      <w:r w:rsidR="007B4A94">
        <w:t>(</w:t>
      </w:r>
      <w:r w:rsidR="007B4A94" w:rsidRPr="007B4A94">
        <w:rPr>
          <w:color w:val="000000"/>
        </w:rPr>
        <w:t>Herzberg, F.</w:t>
      </w:r>
      <w:r w:rsidR="007B4A94">
        <w:rPr>
          <w:color w:val="000000"/>
        </w:rPr>
        <w:t>, 2022</w:t>
      </w:r>
      <w:r w:rsidR="007B4A94">
        <w:t>)</w:t>
      </w:r>
      <w:r w:rsidRPr="00267298">
        <w:rPr>
          <w:rFonts w:eastAsia="Calibri"/>
        </w:rPr>
        <w:t>.</w:t>
      </w:r>
      <w:r w:rsidR="006A4175">
        <w:rPr>
          <w:rFonts w:eastAsia="Calibri"/>
        </w:rPr>
        <w:t xml:space="preserve"> Based on the </w:t>
      </w:r>
      <w:r w:rsidRPr="00267298">
        <w:rPr>
          <w:rFonts w:eastAsia="Calibri"/>
        </w:rPr>
        <w:t xml:space="preserve">spread </w:t>
      </w:r>
      <w:r w:rsidR="006A4175">
        <w:rPr>
          <w:rFonts w:eastAsia="Calibri"/>
        </w:rPr>
        <w:t xml:space="preserve">which tends to be </w:t>
      </w:r>
      <w:r w:rsidRPr="00267298">
        <w:rPr>
          <w:rFonts w:eastAsia="Calibri"/>
        </w:rPr>
        <w:t>measured using the standard deviation of 0.91, indicating moderate variability in responses</w:t>
      </w:r>
      <w:r w:rsidR="006A4175">
        <w:rPr>
          <w:rFonts w:eastAsia="Calibri"/>
        </w:rPr>
        <w:t xml:space="preserve"> and t</w:t>
      </w:r>
      <w:r w:rsidRPr="00267298">
        <w:rPr>
          <w:rFonts w:eastAsia="Calibri"/>
        </w:rPr>
        <w:t>his suggests that while most employees are moderately dissatisfied or satisfied, there is a notable difference in how individuals perceive their job satisfaction.</w:t>
      </w:r>
      <w:r w:rsidR="006A4175">
        <w:rPr>
          <w:rFonts w:eastAsia="Calibri"/>
        </w:rPr>
        <w:t xml:space="preserve"> In accordance with major rationale of analysis, </w:t>
      </w:r>
      <w:r w:rsidRPr="00267298">
        <w:rPr>
          <w:rFonts w:eastAsia="Calibri"/>
        </w:rPr>
        <w:t>industries with high turnover or less-than-optimal work conditions, such as those in lower-wage, high-stress sectors, job satisfaction often trends lower</w:t>
      </w:r>
      <w:r w:rsidR="007B4A94">
        <w:rPr>
          <w:rFonts w:eastAsia="Calibri"/>
        </w:rPr>
        <w:t xml:space="preserve"> </w:t>
      </w:r>
      <w:r w:rsidR="007B4A94">
        <w:t>(</w:t>
      </w:r>
      <w:r w:rsidR="007B4A94" w:rsidRPr="007B4A94">
        <w:rPr>
          <w:color w:val="000000"/>
        </w:rPr>
        <w:t>Herzberg, F.</w:t>
      </w:r>
      <w:r w:rsidR="007B4A94">
        <w:rPr>
          <w:color w:val="000000"/>
        </w:rPr>
        <w:t>, 2022</w:t>
      </w:r>
      <w:r w:rsidR="007B4A94">
        <w:t>)</w:t>
      </w:r>
      <w:r w:rsidRPr="00267298">
        <w:rPr>
          <w:rFonts w:eastAsia="Calibri"/>
        </w:rPr>
        <w:t xml:space="preserve">. </w:t>
      </w:r>
    </w:p>
    <w:p w14:paraId="064762CA" w14:textId="10AAAD72" w:rsidR="00267298" w:rsidRPr="00267298" w:rsidRDefault="006A4175" w:rsidP="006A4175">
      <w:pPr>
        <w:spacing w:line="480" w:lineRule="auto"/>
        <w:ind w:firstLine="720"/>
        <w:jc w:val="both"/>
        <w:rPr>
          <w:rFonts w:eastAsia="Calibri"/>
        </w:rPr>
      </w:pPr>
      <w:r>
        <w:rPr>
          <w:rFonts w:eastAsia="Calibri"/>
        </w:rPr>
        <w:t xml:space="preserve">It tends to be </w:t>
      </w:r>
      <w:proofErr w:type="spellStart"/>
      <w:r>
        <w:rPr>
          <w:rFonts w:eastAsia="Calibri"/>
        </w:rPr>
        <w:t>analysed</w:t>
      </w:r>
      <w:proofErr w:type="spellEnd"/>
      <w:r>
        <w:rPr>
          <w:rFonts w:eastAsia="Calibri"/>
        </w:rPr>
        <w:t xml:space="preserve"> that the </w:t>
      </w:r>
      <w:r w:rsidR="00267298" w:rsidRPr="00267298">
        <w:rPr>
          <w:rFonts w:eastAsia="Calibri"/>
        </w:rPr>
        <w:t>skewness for intrinsic motivation is reported as -0.48, suggesting a slight negative skew</w:t>
      </w:r>
      <w:r>
        <w:rPr>
          <w:rFonts w:eastAsia="Calibri"/>
        </w:rPr>
        <w:t xml:space="preserve"> and t</w:t>
      </w:r>
      <w:r w:rsidR="00267298" w:rsidRPr="00267298">
        <w:rPr>
          <w:rFonts w:eastAsia="Calibri"/>
        </w:rPr>
        <w:t>his means that more respondents report higher intrinsic motivation scores, with a concentration of individuals who find personal fulfillment in their work</w:t>
      </w:r>
      <w:r w:rsidR="008B49A7">
        <w:rPr>
          <w:rFonts w:eastAsia="Calibri"/>
        </w:rPr>
        <w:t xml:space="preserve"> </w:t>
      </w:r>
      <w:r w:rsidR="008B49A7">
        <w:rPr>
          <w:rFonts w:eastAsia="Calibri"/>
        </w:rPr>
        <w:lastRenderedPageBreak/>
        <w:t>(</w:t>
      </w:r>
      <w:r w:rsidR="008B49A7" w:rsidRPr="007B4A94">
        <w:rPr>
          <w:color w:val="000000"/>
        </w:rPr>
        <w:t>Robbins, S. P., &amp; Judge, T. A.</w:t>
      </w:r>
      <w:r w:rsidR="008B49A7">
        <w:rPr>
          <w:color w:val="000000"/>
        </w:rPr>
        <w:t xml:space="preserve">, </w:t>
      </w:r>
      <w:r w:rsidR="008B49A7" w:rsidRPr="007B4A94">
        <w:rPr>
          <w:color w:val="000000"/>
        </w:rPr>
        <w:t>2022</w:t>
      </w:r>
      <w:r w:rsidR="008B49A7">
        <w:rPr>
          <w:rFonts w:eastAsia="Calibri"/>
        </w:rPr>
        <w:t>)</w:t>
      </w:r>
      <w:r w:rsidR="00267298" w:rsidRPr="00267298">
        <w:rPr>
          <w:rFonts w:eastAsia="Calibri"/>
        </w:rPr>
        <w:t xml:space="preserve">. </w:t>
      </w:r>
      <w:r>
        <w:rPr>
          <w:rFonts w:eastAsia="Calibri"/>
        </w:rPr>
        <w:t xml:space="preserve">Based on the </w:t>
      </w:r>
      <w:r w:rsidR="00267298" w:rsidRPr="00267298">
        <w:rPr>
          <w:rFonts w:eastAsia="Calibri"/>
        </w:rPr>
        <w:t xml:space="preserve">negative </w:t>
      </w:r>
      <w:proofErr w:type="gramStart"/>
      <w:r w:rsidR="00267298" w:rsidRPr="00267298">
        <w:rPr>
          <w:rFonts w:eastAsia="Calibri"/>
        </w:rPr>
        <w:t>skew</w:t>
      </w:r>
      <w:proofErr w:type="gramEnd"/>
      <w:r w:rsidR="00267298" w:rsidRPr="00267298">
        <w:rPr>
          <w:rFonts w:eastAsia="Calibri"/>
        </w:rPr>
        <w:t xml:space="preserve"> suggests that people generally experience higher levels of intrinsic motivation, though there are a few respondents who rate their intrinsic satisfaction low.</w:t>
      </w:r>
      <w:r>
        <w:rPr>
          <w:rFonts w:eastAsia="Calibri"/>
        </w:rPr>
        <w:t xml:space="preserve"> In </w:t>
      </w:r>
      <w:proofErr w:type="spellStart"/>
      <w:r>
        <w:rPr>
          <w:rFonts w:eastAsia="Calibri"/>
        </w:rPr>
        <w:t>accordanc</w:t>
      </w:r>
      <w:proofErr w:type="spellEnd"/>
      <w:r>
        <w:rPr>
          <w:rFonts w:eastAsia="Calibri"/>
        </w:rPr>
        <w:t xml:space="preserve"> with </w:t>
      </w:r>
      <w:r w:rsidR="00267298" w:rsidRPr="00267298">
        <w:rPr>
          <w:rFonts w:eastAsia="Calibri"/>
        </w:rPr>
        <w:t xml:space="preserve">a standard deviation of 1.42, the spread is relatively high, showing that there is a wide range of responses on intrinsic </w:t>
      </w:r>
      <w:proofErr w:type="gramStart"/>
      <w:r w:rsidR="00267298" w:rsidRPr="00267298">
        <w:rPr>
          <w:rFonts w:eastAsia="Calibri"/>
        </w:rPr>
        <w:t>motivation</w:t>
      </w:r>
      <w:proofErr w:type="gramEnd"/>
      <w:r>
        <w:rPr>
          <w:rFonts w:eastAsia="Calibri"/>
        </w:rPr>
        <w:t xml:space="preserve"> and t</w:t>
      </w:r>
      <w:r w:rsidR="00267298" w:rsidRPr="00267298">
        <w:rPr>
          <w:rFonts w:eastAsia="Calibri"/>
        </w:rPr>
        <w:t>his indicates that while some employees are highly motivated by internal factors (personal growth, passion for the job), others are less driven by these internal factors.</w:t>
      </w:r>
      <w:r>
        <w:rPr>
          <w:rFonts w:eastAsia="Calibri"/>
        </w:rPr>
        <w:t xml:space="preserve"> However, one of the major </w:t>
      </w:r>
      <w:proofErr w:type="gramStart"/>
      <w:r>
        <w:rPr>
          <w:rFonts w:eastAsia="Calibri"/>
        </w:rPr>
        <w:t>rationale</w:t>
      </w:r>
      <w:proofErr w:type="gramEnd"/>
      <w:r>
        <w:rPr>
          <w:rFonts w:eastAsia="Calibri"/>
        </w:rPr>
        <w:t xml:space="preserve"> of i</w:t>
      </w:r>
      <w:r w:rsidR="00267298" w:rsidRPr="00267298">
        <w:rPr>
          <w:rFonts w:eastAsia="Calibri"/>
        </w:rPr>
        <w:t>ntrinsic motivation is particularly important in creative or knowledge-based industries where personal growth and meaningful work drive engagement</w:t>
      </w:r>
      <w:r w:rsidR="007B4A94">
        <w:rPr>
          <w:rFonts w:eastAsia="Calibri"/>
        </w:rPr>
        <w:t xml:space="preserve"> </w:t>
      </w:r>
      <w:r w:rsidR="007B4A94">
        <w:rPr>
          <w:rFonts w:eastAsia="Calibri"/>
        </w:rPr>
        <w:t>(</w:t>
      </w:r>
      <w:r w:rsidR="007B4A94" w:rsidRPr="007B4A94">
        <w:rPr>
          <w:color w:val="000000"/>
        </w:rPr>
        <w:t>Meyer, J. P., &amp; Allen, N. J.</w:t>
      </w:r>
      <w:r w:rsidR="007B4A94">
        <w:rPr>
          <w:color w:val="000000"/>
        </w:rPr>
        <w:t>, 2022</w:t>
      </w:r>
      <w:r w:rsidR="007B4A94">
        <w:rPr>
          <w:rFonts w:eastAsia="Calibri"/>
        </w:rPr>
        <w:t>)</w:t>
      </w:r>
      <w:r w:rsidR="00267298" w:rsidRPr="00267298">
        <w:rPr>
          <w:rFonts w:eastAsia="Calibri"/>
        </w:rPr>
        <w:t xml:space="preserve">. </w:t>
      </w:r>
    </w:p>
    <w:p w14:paraId="31647E2D" w14:textId="0A3DA715" w:rsidR="00267298" w:rsidRPr="00267298" w:rsidRDefault="006A4175" w:rsidP="006A4175">
      <w:pPr>
        <w:spacing w:line="480" w:lineRule="auto"/>
        <w:ind w:firstLine="720"/>
        <w:jc w:val="both"/>
        <w:rPr>
          <w:rFonts w:eastAsia="Calibri"/>
        </w:rPr>
      </w:pPr>
      <w:r>
        <w:rPr>
          <w:rFonts w:eastAsia="Calibri"/>
        </w:rPr>
        <w:t xml:space="preserve">According to the </w:t>
      </w:r>
      <w:r w:rsidR="00267298" w:rsidRPr="00267298">
        <w:rPr>
          <w:rFonts w:eastAsia="Calibri"/>
        </w:rPr>
        <w:t>skewness of 0.05 indicates a near-normal distribution for extrinsic motivation, meaning the responses are relatively evenly spread across the scale</w:t>
      </w:r>
      <w:r>
        <w:rPr>
          <w:rFonts w:eastAsia="Calibri"/>
        </w:rPr>
        <w:t xml:space="preserve"> and t</w:t>
      </w:r>
      <w:r w:rsidR="00267298" w:rsidRPr="00267298">
        <w:rPr>
          <w:rFonts w:eastAsia="Calibri"/>
        </w:rPr>
        <w:t>his suggests that employees generally experience similar levels of extrinsic rewards (e.g., salary, benefits), with no pronounced bias toward low or high ratings.</w:t>
      </w:r>
      <w:r>
        <w:rPr>
          <w:rFonts w:eastAsia="Calibri"/>
        </w:rPr>
        <w:t xml:space="preserve"> Based on the </w:t>
      </w:r>
      <w:r w:rsidR="00267298" w:rsidRPr="00267298">
        <w:rPr>
          <w:rFonts w:eastAsia="Calibri"/>
        </w:rPr>
        <w:t>standard deviation for extrinsic motivation is 0.83, showing less spread than intrinsic motivation</w:t>
      </w:r>
      <w:r>
        <w:rPr>
          <w:rFonts w:eastAsia="Calibri"/>
        </w:rPr>
        <w:t xml:space="preserve"> and t</w:t>
      </w:r>
      <w:r w:rsidR="00267298" w:rsidRPr="00267298">
        <w:rPr>
          <w:rFonts w:eastAsia="Calibri"/>
        </w:rPr>
        <w:t>his indicates that most respondents report somewhat similar levels of extrinsic motivation</w:t>
      </w:r>
      <w:r w:rsidR="008B49A7">
        <w:rPr>
          <w:rFonts w:eastAsia="Calibri"/>
        </w:rPr>
        <w:t xml:space="preserve"> </w:t>
      </w:r>
      <w:r w:rsidR="008B49A7">
        <w:rPr>
          <w:rFonts w:eastAsia="Calibri"/>
        </w:rPr>
        <w:t>(</w:t>
      </w:r>
      <w:r w:rsidR="008B49A7" w:rsidRPr="007B4A94">
        <w:rPr>
          <w:color w:val="000000"/>
        </w:rPr>
        <w:t>Robbins, S. P., &amp; Judge, T. A.</w:t>
      </w:r>
      <w:r w:rsidR="008B49A7">
        <w:rPr>
          <w:color w:val="000000"/>
        </w:rPr>
        <w:t xml:space="preserve">, </w:t>
      </w:r>
      <w:r w:rsidR="008B49A7" w:rsidRPr="007B4A94">
        <w:rPr>
          <w:color w:val="000000"/>
        </w:rPr>
        <w:t>2022</w:t>
      </w:r>
      <w:r w:rsidR="008B49A7">
        <w:rPr>
          <w:rFonts w:eastAsia="Calibri"/>
        </w:rPr>
        <w:t>)</w:t>
      </w:r>
      <w:r w:rsidR="00267298" w:rsidRPr="00267298">
        <w:rPr>
          <w:rFonts w:eastAsia="Calibri"/>
        </w:rPr>
        <w:t>.</w:t>
      </w:r>
      <w:r>
        <w:rPr>
          <w:rFonts w:eastAsia="Calibri"/>
        </w:rPr>
        <w:t xml:space="preserve"> As per the rationale of </w:t>
      </w:r>
      <w:proofErr w:type="gramStart"/>
      <w:r>
        <w:rPr>
          <w:rFonts w:eastAsia="Calibri"/>
        </w:rPr>
        <w:t>the e</w:t>
      </w:r>
      <w:r w:rsidR="00267298" w:rsidRPr="00267298">
        <w:rPr>
          <w:rFonts w:eastAsia="Calibri"/>
        </w:rPr>
        <w:t>xtrinsic</w:t>
      </w:r>
      <w:proofErr w:type="gramEnd"/>
      <w:r w:rsidR="00267298" w:rsidRPr="00267298">
        <w:rPr>
          <w:rFonts w:eastAsia="Calibri"/>
        </w:rPr>
        <w:t xml:space="preserve"> motivation tends to be more standardized in many industries, especially those that offer clear monetary or benefit incentives</w:t>
      </w:r>
      <w:r>
        <w:rPr>
          <w:rFonts w:eastAsia="Calibri"/>
        </w:rPr>
        <w:t xml:space="preserve"> and i</w:t>
      </w:r>
      <w:r w:rsidR="00267298" w:rsidRPr="00267298">
        <w:rPr>
          <w:rFonts w:eastAsia="Calibri"/>
        </w:rPr>
        <w:t>n sectors such as retail or manufacturing, where employees may value external rewards like pay and benefits more than the work itself, extrinsic motivation tends to be more consistent across the workforce</w:t>
      </w:r>
      <w:r w:rsidR="007B4A94">
        <w:rPr>
          <w:rFonts w:eastAsia="Calibri"/>
        </w:rPr>
        <w:t xml:space="preserve"> </w:t>
      </w:r>
      <w:r w:rsidR="007B4A94">
        <w:t>(</w:t>
      </w:r>
      <w:r w:rsidR="007B4A94" w:rsidRPr="007B4A94">
        <w:rPr>
          <w:color w:val="000000"/>
        </w:rPr>
        <w:t>Herzberg, F.</w:t>
      </w:r>
      <w:r w:rsidR="007B4A94">
        <w:rPr>
          <w:color w:val="000000"/>
        </w:rPr>
        <w:t>, 2022</w:t>
      </w:r>
      <w:r w:rsidR="007B4A94">
        <w:t>)</w:t>
      </w:r>
      <w:r w:rsidR="00267298" w:rsidRPr="00267298">
        <w:rPr>
          <w:rFonts w:eastAsia="Calibri"/>
        </w:rPr>
        <w:t>.</w:t>
      </w:r>
    </w:p>
    <w:p w14:paraId="7F1325E3" w14:textId="7CDD3F48" w:rsidR="00267298" w:rsidRPr="00267298" w:rsidRDefault="006A4175" w:rsidP="006A4175">
      <w:pPr>
        <w:spacing w:line="480" w:lineRule="auto"/>
        <w:ind w:firstLine="720"/>
        <w:jc w:val="both"/>
        <w:rPr>
          <w:rFonts w:eastAsia="Calibri"/>
        </w:rPr>
      </w:pPr>
      <w:r>
        <w:rPr>
          <w:rFonts w:eastAsia="Calibri"/>
        </w:rPr>
        <w:t xml:space="preserve">Based on the </w:t>
      </w:r>
      <w:r w:rsidR="00267298" w:rsidRPr="00267298">
        <w:rPr>
          <w:rFonts w:eastAsia="Calibri"/>
        </w:rPr>
        <w:t>skewness of -0.21 for commitment is very close to zero, suggesting a nearly normal distribution, with commitment levels evenly distributed across the workforce</w:t>
      </w:r>
      <w:r>
        <w:rPr>
          <w:rFonts w:eastAsia="Calibri"/>
        </w:rPr>
        <w:t xml:space="preserve"> and t</w:t>
      </w:r>
      <w:r w:rsidR="00267298" w:rsidRPr="00267298">
        <w:rPr>
          <w:rFonts w:eastAsia="Calibri"/>
        </w:rPr>
        <w:t>here are no significant outliers, and both high and low commitment are fairly common.</w:t>
      </w:r>
      <w:r>
        <w:rPr>
          <w:rFonts w:eastAsia="Calibri"/>
        </w:rPr>
        <w:t xml:space="preserve"> In accordance </w:t>
      </w:r>
      <w:r>
        <w:rPr>
          <w:rFonts w:eastAsia="Calibri"/>
        </w:rPr>
        <w:lastRenderedPageBreak/>
        <w:t xml:space="preserve">with </w:t>
      </w:r>
      <w:r w:rsidR="00267298" w:rsidRPr="00267298">
        <w:rPr>
          <w:rFonts w:eastAsia="Calibri"/>
        </w:rPr>
        <w:t>a standard deviation of 0.98, commitment has a moderate spread, indicating that while many employees feel moderately committed to the organization, there is some variability in how committed individuals feel.</w:t>
      </w:r>
      <w:r>
        <w:rPr>
          <w:rFonts w:eastAsia="Calibri"/>
        </w:rPr>
        <w:t xml:space="preserve"> Based on the c</w:t>
      </w:r>
      <w:r w:rsidR="00267298" w:rsidRPr="00267298">
        <w:rPr>
          <w:rFonts w:eastAsia="Calibri"/>
        </w:rPr>
        <w:t xml:space="preserve">ommitment </w:t>
      </w:r>
      <w:r>
        <w:rPr>
          <w:rFonts w:eastAsia="Calibri"/>
        </w:rPr>
        <w:t xml:space="preserve">which tends to be </w:t>
      </w:r>
      <w:r w:rsidR="00267298" w:rsidRPr="00267298">
        <w:rPr>
          <w:rFonts w:eastAsia="Calibri"/>
        </w:rPr>
        <w:t xml:space="preserve">often closely linked to job satisfaction and intrinsic motivation. </w:t>
      </w:r>
    </w:p>
    <w:p w14:paraId="60D3606B" w14:textId="4F2B928B" w:rsidR="00267298" w:rsidRPr="00267298" w:rsidRDefault="006A4175" w:rsidP="006A4175">
      <w:pPr>
        <w:spacing w:line="480" w:lineRule="auto"/>
        <w:ind w:firstLine="720"/>
        <w:jc w:val="both"/>
        <w:rPr>
          <w:rFonts w:eastAsia="Calibri"/>
        </w:rPr>
      </w:pPr>
      <w:r>
        <w:rPr>
          <w:rFonts w:eastAsia="Calibri"/>
        </w:rPr>
        <w:t xml:space="preserve">As per the analysis, </w:t>
      </w:r>
      <w:r w:rsidR="00267298" w:rsidRPr="00267298">
        <w:rPr>
          <w:rFonts w:eastAsia="Calibri"/>
        </w:rPr>
        <w:t xml:space="preserve">histograms would visually confirm the skewness and spread described by the descriptive </w:t>
      </w:r>
      <w:r>
        <w:rPr>
          <w:rFonts w:eastAsia="Calibri"/>
        </w:rPr>
        <w:t xml:space="preserve">statistics such as </w:t>
      </w:r>
      <w:r w:rsidR="00267298" w:rsidRPr="00267298">
        <w:rPr>
          <w:rFonts w:eastAsia="Calibri"/>
        </w:rPr>
        <w:t xml:space="preserve">a positively skewed histogram for job satisfaction would show a greater concentration of responses on the lower end, confirming the 0.92 skewness value. </w:t>
      </w:r>
      <w:r>
        <w:rPr>
          <w:rFonts w:eastAsia="Calibri"/>
        </w:rPr>
        <w:t xml:space="preserve">Based on the </w:t>
      </w:r>
      <w:r w:rsidR="00267298" w:rsidRPr="00267298">
        <w:rPr>
          <w:rFonts w:eastAsia="Calibri"/>
        </w:rPr>
        <w:t>histograms for intrinsic motivation and commitment would likely show a more balanced or slightly negative distribution, consistent with their skewness values of -0.48 and -0.21, respectively.</w:t>
      </w:r>
      <w:r>
        <w:rPr>
          <w:rFonts w:eastAsia="Calibri"/>
        </w:rPr>
        <w:t xml:space="preserve"> According to a </w:t>
      </w:r>
      <w:r w:rsidR="00267298" w:rsidRPr="00267298">
        <w:rPr>
          <w:rFonts w:eastAsia="Calibri"/>
        </w:rPr>
        <w:t xml:space="preserve">wider spread in intrinsic motivation, as shown by the standard deviation of 1.42, </w:t>
      </w:r>
      <w:proofErr w:type="gramStart"/>
      <w:r w:rsidR="00267298" w:rsidRPr="00267298">
        <w:rPr>
          <w:rFonts w:eastAsia="Calibri"/>
        </w:rPr>
        <w:t>would</w:t>
      </w:r>
      <w:proofErr w:type="gramEnd"/>
      <w:r w:rsidR="00267298" w:rsidRPr="00267298">
        <w:rPr>
          <w:rFonts w:eastAsia="Calibri"/>
        </w:rPr>
        <w:t xml:space="preserve"> likely be seen in a histogram with a more dispersed set of data, with a noticeable spread of responses.</w:t>
      </w:r>
    </w:p>
    <w:p w14:paraId="1E6F238E" w14:textId="5B1EFEC8" w:rsidR="00DE1A4A" w:rsidRPr="00DE1A4A" w:rsidRDefault="00DE1A4A" w:rsidP="00DE1A4A">
      <w:pPr>
        <w:spacing w:line="480" w:lineRule="auto"/>
        <w:ind w:firstLine="720"/>
        <w:rPr>
          <w:rFonts w:eastAsia="Calibri"/>
        </w:rPr>
      </w:pPr>
    </w:p>
    <w:p w14:paraId="50633991" w14:textId="1F4BE7B3" w:rsidR="00530A67" w:rsidRPr="00454CAF" w:rsidRDefault="002F7DEF" w:rsidP="00530A67">
      <w:pPr>
        <w:spacing w:line="480" w:lineRule="auto"/>
        <w:jc w:val="center"/>
        <w:rPr>
          <w:rFonts w:eastAsia="Calibri"/>
          <w:b/>
          <w:bCs/>
        </w:rPr>
      </w:pPr>
      <w:r>
        <w:rPr>
          <w:rFonts w:eastAsia="Calibri"/>
          <w:b/>
          <w:bCs/>
        </w:rPr>
        <w:t>Analyzing Data</w:t>
      </w:r>
    </w:p>
    <w:p w14:paraId="4F18FA0B" w14:textId="3EB1D8C3" w:rsidR="002F7DEF" w:rsidRDefault="007B4A94" w:rsidP="007B4A94">
      <w:pPr>
        <w:spacing w:line="480" w:lineRule="auto"/>
        <w:jc w:val="center"/>
        <w:rPr>
          <w:rFonts w:eastAsia="Calibri"/>
        </w:rPr>
      </w:pPr>
      <w:r>
        <w:rPr>
          <w:noProof/>
        </w:rPr>
        <w:drawing>
          <wp:inline distT="0" distB="0" distL="0" distR="0" wp14:anchorId="47D57EFD" wp14:editId="07F96C2D">
            <wp:extent cx="5943600" cy="1981200"/>
            <wp:effectExtent l="0" t="0" r="0" b="0"/>
            <wp:docPr id="1184963982" name="Chart 1">
              <a:extLst xmlns:a="http://schemas.openxmlformats.org/drawingml/2006/main">
                <a:ext uri="{FF2B5EF4-FFF2-40B4-BE49-F238E27FC236}">
                  <a16:creationId xmlns:a16="http://schemas.microsoft.com/office/drawing/2014/main" id="{DDBBFE5C-1BE9-49C6-EDE7-AF4E213AB2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E217A02" w14:textId="3C85311D" w:rsidR="007B4A94" w:rsidRDefault="007B4A94" w:rsidP="007B4A94">
      <w:pPr>
        <w:spacing w:line="480" w:lineRule="auto"/>
        <w:rPr>
          <w:rFonts w:eastAsia="Calibri"/>
        </w:rPr>
      </w:pPr>
      <w:r>
        <w:rPr>
          <w:rFonts w:eastAsia="Calibri"/>
        </w:rPr>
        <w:t>Figure 6: Pivot chart</w:t>
      </w:r>
    </w:p>
    <w:p w14:paraId="27E30A58" w14:textId="7B49D986" w:rsidR="007B4A94" w:rsidRDefault="007B4A94" w:rsidP="007B4A94">
      <w:pPr>
        <w:pStyle w:val="ListParagraph"/>
        <w:numPr>
          <w:ilvl w:val="0"/>
          <w:numId w:val="37"/>
        </w:numPr>
        <w:spacing w:line="480" w:lineRule="auto"/>
        <w:jc w:val="both"/>
        <w:rPr>
          <w:rFonts w:eastAsia="Calibri"/>
        </w:rPr>
      </w:pPr>
      <w:r>
        <w:rPr>
          <w:rFonts w:eastAsia="Calibri"/>
        </w:rPr>
        <w:t xml:space="preserve">As per the analysis, </w:t>
      </w:r>
      <w:r w:rsidRPr="007B4A94">
        <w:rPr>
          <w:rFonts w:eastAsia="Calibri"/>
        </w:rPr>
        <w:t>moderate mean score of 3.66 for job satisfaction, coupled with a positive skew (0.92), suggests significant dissatisfaction among employees</w:t>
      </w:r>
      <w:r>
        <w:rPr>
          <w:rFonts w:eastAsia="Calibri"/>
        </w:rPr>
        <w:t xml:space="preserve"> and i</w:t>
      </w:r>
      <w:r w:rsidRPr="007B4A94">
        <w:rPr>
          <w:rFonts w:eastAsia="Calibri"/>
        </w:rPr>
        <w:t xml:space="preserve">n </w:t>
      </w:r>
      <w:r w:rsidRPr="007B4A94">
        <w:rPr>
          <w:rFonts w:eastAsia="Calibri"/>
        </w:rPr>
        <w:lastRenderedPageBreak/>
        <w:t>industries like retail and hospitality, where turnover is high, improving job satisfaction through better compensation, career development, and work-life balance initiatives can help retain employees and enhance organizational performance</w:t>
      </w:r>
      <w:r>
        <w:rPr>
          <w:rFonts w:eastAsia="Calibri"/>
        </w:rPr>
        <w:t xml:space="preserve"> (</w:t>
      </w:r>
      <w:r w:rsidRPr="007B4A94">
        <w:rPr>
          <w:color w:val="000000"/>
        </w:rPr>
        <w:t>Locke, E. A.</w:t>
      </w:r>
      <w:r>
        <w:rPr>
          <w:color w:val="000000"/>
        </w:rPr>
        <w:t xml:space="preserve">, </w:t>
      </w:r>
      <w:r>
        <w:rPr>
          <w:color w:val="000000"/>
        </w:rPr>
        <w:t>2023</w:t>
      </w:r>
      <w:r>
        <w:rPr>
          <w:rFonts w:eastAsia="Calibri"/>
        </w:rPr>
        <w:t>)</w:t>
      </w:r>
      <w:r w:rsidRPr="007B4A94">
        <w:rPr>
          <w:rFonts w:eastAsia="Calibri"/>
        </w:rPr>
        <w:t>.</w:t>
      </w:r>
    </w:p>
    <w:p w14:paraId="33E4552B" w14:textId="77777777" w:rsidR="007B4A94" w:rsidRPr="007B4A94" w:rsidRDefault="007B4A94" w:rsidP="007B4A94">
      <w:pPr>
        <w:spacing w:line="480" w:lineRule="auto"/>
        <w:jc w:val="both"/>
        <w:rPr>
          <w:rFonts w:eastAsia="Calibri"/>
        </w:rPr>
      </w:pPr>
    </w:p>
    <w:p w14:paraId="6562A00B" w14:textId="73487FA1" w:rsidR="007B4A94" w:rsidRDefault="007B4A94" w:rsidP="007B4A94">
      <w:pPr>
        <w:pStyle w:val="ListParagraph"/>
        <w:numPr>
          <w:ilvl w:val="0"/>
          <w:numId w:val="37"/>
        </w:numPr>
        <w:spacing w:line="480" w:lineRule="auto"/>
        <w:jc w:val="both"/>
        <w:rPr>
          <w:rFonts w:eastAsia="Calibri"/>
        </w:rPr>
      </w:pPr>
      <w:r>
        <w:rPr>
          <w:rFonts w:eastAsia="Calibri"/>
        </w:rPr>
        <w:t>In accordance w</w:t>
      </w:r>
      <w:r w:rsidRPr="007B4A94">
        <w:rPr>
          <w:rFonts w:eastAsia="Calibri"/>
        </w:rPr>
        <w:t xml:space="preserve">ith </w:t>
      </w:r>
      <w:proofErr w:type="gramStart"/>
      <w:r w:rsidRPr="007B4A94">
        <w:rPr>
          <w:rFonts w:eastAsia="Calibri"/>
        </w:rPr>
        <w:t>a mean</w:t>
      </w:r>
      <w:proofErr w:type="gramEnd"/>
      <w:r w:rsidRPr="007B4A94">
        <w:rPr>
          <w:rFonts w:eastAsia="Calibri"/>
        </w:rPr>
        <w:t xml:space="preserve"> of 4.42 for intrinsic motivation, employees are more driven by personal growth and fulfillment than external rewards</w:t>
      </w:r>
      <w:r>
        <w:rPr>
          <w:rFonts w:eastAsia="Calibri"/>
        </w:rPr>
        <w:t xml:space="preserve"> such as t</w:t>
      </w:r>
      <w:r w:rsidRPr="007B4A94">
        <w:rPr>
          <w:rFonts w:eastAsia="Calibri"/>
        </w:rPr>
        <w:t>his aligns with trends in industries like technology and healthcare, where intrinsic motivation is linked to job engagement and retention</w:t>
      </w:r>
      <w:r>
        <w:rPr>
          <w:rFonts w:eastAsia="Calibri"/>
        </w:rPr>
        <w:t xml:space="preserve"> </w:t>
      </w:r>
      <w:r>
        <w:t>(</w:t>
      </w:r>
      <w:r w:rsidRPr="007B4A94">
        <w:rPr>
          <w:color w:val="000000"/>
        </w:rPr>
        <w:t>Herzberg, F.</w:t>
      </w:r>
      <w:r>
        <w:rPr>
          <w:color w:val="000000"/>
        </w:rPr>
        <w:t>, 2022</w:t>
      </w:r>
      <w:r>
        <w:t>)</w:t>
      </w:r>
      <w:r w:rsidRPr="007B4A94">
        <w:rPr>
          <w:rFonts w:eastAsia="Calibri"/>
        </w:rPr>
        <w:t xml:space="preserve">. </w:t>
      </w:r>
      <w:r>
        <w:rPr>
          <w:rFonts w:eastAsia="Calibri"/>
        </w:rPr>
        <w:t>According to the o</w:t>
      </w:r>
      <w:r w:rsidRPr="007B4A94">
        <w:rPr>
          <w:rFonts w:eastAsia="Calibri"/>
        </w:rPr>
        <w:t xml:space="preserve">rganizations </w:t>
      </w:r>
      <w:r>
        <w:rPr>
          <w:rFonts w:eastAsia="Calibri"/>
        </w:rPr>
        <w:t xml:space="preserve">which </w:t>
      </w:r>
      <w:r w:rsidRPr="007B4A94">
        <w:rPr>
          <w:rFonts w:eastAsia="Calibri"/>
        </w:rPr>
        <w:t>should focus on providing growth opportunities, autonomy, and meaningful work to keep employees motivated and committed</w:t>
      </w:r>
      <w:r w:rsidR="008B49A7">
        <w:rPr>
          <w:rFonts w:eastAsia="Calibri"/>
        </w:rPr>
        <w:t xml:space="preserve"> </w:t>
      </w:r>
      <w:r w:rsidR="008B49A7">
        <w:rPr>
          <w:rFonts w:eastAsia="Calibri"/>
        </w:rPr>
        <w:t>(</w:t>
      </w:r>
      <w:r w:rsidR="008B49A7" w:rsidRPr="007B4A94">
        <w:rPr>
          <w:color w:val="000000"/>
        </w:rPr>
        <w:t>Robbins, S. P., &amp; Judge, T. A.</w:t>
      </w:r>
      <w:r w:rsidR="008B49A7">
        <w:rPr>
          <w:color w:val="000000"/>
        </w:rPr>
        <w:t xml:space="preserve">, </w:t>
      </w:r>
      <w:r w:rsidR="008B49A7" w:rsidRPr="007B4A94">
        <w:rPr>
          <w:color w:val="000000"/>
        </w:rPr>
        <w:t>2022</w:t>
      </w:r>
      <w:r w:rsidR="008B49A7">
        <w:rPr>
          <w:rFonts w:eastAsia="Calibri"/>
        </w:rPr>
        <w:t>)</w:t>
      </w:r>
      <w:r w:rsidRPr="007B4A94">
        <w:rPr>
          <w:rFonts w:eastAsia="Calibri"/>
        </w:rPr>
        <w:t>.</w:t>
      </w:r>
    </w:p>
    <w:p w14:paraId="0C693892" w14:textId="77777777" w:rsidR="007B4A94" w:rsidRPr="007B4A94" w:rsidRDefault="007B4A94" w:rsidP="007B4A94">
      <w:pPr>
        <w:spacing w:line="480" w:lineRule="auto"/>
        <w:jc w:val="both"/>
        <w:rPr>
          <w:rFonts w:eastAsia="Calibri"/>
        </w:rPr>
      </w:pPr>
    </w:p>
    <w:p w14:paraId="77F435DE" w14:textId="19902028" w:rsidR="007B4A94" w:rsidRPr="007B4A94" w:rsidRDefault="007B4A94" w:rsidP="007B4A94">
      <w:pPr>
        <w:pStyle w:val="ListParagraph"/>
        <w:numPr>
          <w:ilvl w:val="0"/>
          <w:numId w:val="37"/>
        </w:numPr>
        <w:spacing w:line="480" w:lineRule="auto"/>
        <w:jc w:val="both"/>
        <w:rPr>
          <w:rFonts w:eastAsia="Calibri"/>
        </w:rPr>
      </w:pPr>
      <w:r>
        <w:rPr>
          <w:rFonts w:eastAsia="Calibri"/>
        </w:rPr>
        <w:t xml:space="preserve">Based on the </w:t>
      </w:r>
      <w:r w:rsidRPr="007B4A94">
        <w:rPr>
          <w:rFonts w:eastAsia="Calibri"/>
        </w:rPr>
        <w:t xml:space="preserve">data </w:t>
      </w:r>
      <w:r>
        <w:rPr>
          <w:rFonts w:eastAsia="Calibri"/>
        </w:rPr>
        <w:t xml:space="preserve">which </w:t>
      </w:r>
      <w:r w:rsidRPr="007B4A94">
        <w:rPr>
          <w:rFonts w:eastAsia="Calibri"/>
        </w:rPr>
        <w:t>shows high turnover, with 133 employees having less than two years' tenure</w:t>
      </w:r>
      <w:r>
        <w:rPr>
          <w:rFonts w:eastAsia="Calibri"/>
        </w:rPr>
        <w:t xml:space="preserve"> and t</w:t>
      </w:r>
      <w:r w:rsidRPr="007B4A94">
        <w:rPr>
          <w:rFonts w:eastAsia="Calibri"/>
        </w:rPr>
        <w:t>his is typical in industries like retail, where turnover rates are high</w:t>
      </w:r>
      <w:r>
        <w:rPr>
          <w:rFonts w:eastAsia="Calibri"/>
        </w:rPr>
        <w:t xml:space="preserve"> and in order t</w:t>
      </w:r>
      <w:r w:rsidRPr="007B4A94">
        <w:rPr>
          <w:rFonts w:eastAsia="Calibri"/>
        </w:rPr>
        <w:t>o reduce turnover, companies should implement strong onboarding programs, offer competitive compensation, and create clear career paths to foster long-term engagement and improve retention</w:t>
      </w:r>
      <w:r>
        <w:rPr>
          <w:rFonts w:eastAsia="Calibri"/>
        </w:rPr>
        <w:t xml:space="preserve"> (</w:t>
      </w:r>
      <w:r w:rsidRPr="007B4A94">
        <w:rPr>
          <w:color w:val="000000"/>
        </w:rPr>
        <w:t>Meyer, J. P., &amp; Allen, N. J.</w:t>
      </w:r>
      <w:r>
        <w:rPr>
          <w:color w:val="000000"/>
        </w:rPr>
        <w:t xml:space="preserve">, </w:t>
      </w:r>
      <w:r>
        <w:rPr>
          <w:color w:val="000000"/>
        </w:rPr>
        <w:t>2022</w:t>
      </w:r>
      <w:r>
        <w:rPr>
          <w:rFonts w:eastAsia="Calibri"/>
        </w:rPr>
        <w:t>)</w:t>
      </w:r>
      <w:r w:rsidRPr="007B4A94">
        <w:rPr>
          <w:rFonts w:eastAsia="Calibri"/>
        </w:rPr>
        <w:t>.</w:t>
      </w:r>
    </w:p>
    <w:p w14:paraId="64B24CA0" w14:textId="77777777" w:rsidR="007B4A94" w:rsidRPr="002F7DEF" w:rsidRDefault="007B4A94" w:rsidP="007B4A94">
      <w:pPr>
        <w:spacing w:line="480" w:lineRule="auto"/>
        <w:rPr>
          <w:rFonts w:eastAsia="Calibri"/>
        </w:rPr>
      </w:pPr>
    </w:p>
    <w:p w14:paraId="7F79F8D8" w14:textId="77777777" w:rsidR="000455F6" w:rsidRPr="00B224B6" w:rsidRDefault="000455F6" w:rsidP="003C7F15">
      <w:pPr>
        <w:pStyle w:val="Blockquote"/>
        <w:spacing w:before="0" w:after="0" w:line="480" w:lineRule="auto"/>
        <w:ind w:left="0"/>
        <w:jc w:val="center"/>
        <w:rPr>
          <w:b/>
          <w:color w:val="000000"/>
          <w:szCs w:val="24"/>
        </w:rPr>
      </w:pPr>
      <w:r w:rsidRPr="00B224B6">
        <w:rPr>
          <w:b/>
          <w:color w:val="000000"/>
          <w:szCs w:val="24"/>
        </w:rPr>
        <w:t>Conclusion</w:t>
      </w:r>
    </w:p>
    <w:p w14:paraId="054C6B70" w14:textId="7FF67CA0" w:rsidR="000455F6" w:rsidRPr="00B224B6" w:rsidRDefault="007B4A94" w:rsidP="007B4A94">
      <w:pPr>
        <w:tabs>
          <w:tab w:val="left" w:pos="360"/>
        </w:tabs>
        <w:overflowPunct w:val="0"/>
        <w:autoSpaceDE w:val="0"/>
        <w:autoSpaceDN w:val="0"/>
        <w:adjustRightInd w:val="0"/>
        <w:spacing w:line="480" w:lineRule="auto"/>
        <w:jc w:val="both"/>
        <w:textAlignment w:val="baseline"/>
        <w:rPr>
          <w:color w:val="000000"/>
        </w:rPr>
      </w:pPr>
      <w:r>
        <w:rPr>
          <w:color w:val="000000"/>
        </w:rPr>
        <w:tab/>
      </w:r>
      <w:r>
        <w:rPr>
          <w:color w:val="000000"/>
        </w:rPr>
        <w:tab/>
        <w:t xml:space="preserve">According to the above </w:t>
      </w:r>
      <w:proofErr w:type="gramStart"/>
      <w:r>
        <w:rPr>
          <w:color w:val="000000"/>
        </w:rPr>
        <w:t>analysis</w:t>
      </w:r>
      <w:proofErr w:type="gramEnd"/>
      <w:r>
        <w:rPr>
          <w:color w:val="000000"/>
        </w:rPr>
        <w:t xml:space="preserve"> which tends to </w:t>
      </w:r>
      <w:proofErr w:type="gramStart"/>
      <w:r>
        <w:rPr>
          <w:color w:val="000000"/>
        </w:rPr>
        <w:t>concludes</w:t>
      </w:r>
      <w:proofErr w:type="gramEnd"/>
      <w:r>
        <w:rPr>
          <w:color w:val="000000"/>
        </w:rPr>
        <w:t xml:space="preserve"> that </w:t>
      </w:r>
      <w:r w:rsidRPr="007B4A94">
        <w:rPr>
          <w:color w:val="000000"/>
        </w:rPr>
        <w:t>addressing job satisfaction, intrinsic motivation, and turnover is crucial for improving employee engagement and retention</w:t>
      </w:r>
      <w:r>
        <w:rPr>
          <w:color w:val="000000"/>
        </w:rPr>
        <w:t xml:space="preserve"> such as b</w:t>
      </w:r>
      <w:r w:rsidRPr="007B4A94">
        <w:rPr>
          <w:color w:val="000000"/>
        </w:rPr>
        <w:t xml:space="preserve">y focusing on these areas, organizations can create a more committed and productive workforce, ultimately driving long-term success. </w:t>
      </w:r>
      <w:r>
        <w:rPr>
          <w:color w:val="000000"/>
        </w:rPr>
        <w:t>However, on the basis of t</w:t>
      </w:r>
      <w:r w:rsidRPr="007B4A94">
        <w:rPr>
          <w:color w:val="000000"/>
        </w:rPr>
        <w:t xml:space="preserve">ailored </w:t>
      </w:r>
      <w:r w:rsidRPr="007B4A94">
        <w:rPr>
          <w:color w:val="000000"/>
        </w:rPr>
        <w:lastRenderedPageBreak/>
        <w:t>strategies that align with industry trends will foster a positive work environment and reduce costly turnover</w:t>
      </w:r>
      <w:r>
        <w:rPr>
          <w:color w:val="000000"/>
        </w:rPr>
        <w:t xml:space="preserve"> </w:t>
      </w:r>
      <w:r>
        <w:rPr>
          <w:rFonts w:eastAsia="Calibri"/>
        </w:rPr>
        <w:t>(</w:t>
      </w:r>
      <w:r w:rsidRPr="007B4A94">
        <w:rPr>
          <w:color w:val="000000"/>
        </w:rPr>
        <w:t>Locke, E. A.</w:t>
      </w:r>
      <w:r>
        <w:rPr>
          <w:color w:val="000000"/>
        </w:rPr>
        <w:t>, 2023</w:t>
      </w:r>
      <w:r>
        <w:rPr>
          <w:rFonts w:eastAsia="Calibri"/>
        </w:rPr>
        <w:t>)</w:t>
      </w:r>
      <w:r w:rsidRPr="007B4A94">
        <w:rPr>
          <w:color w:val="000000"/>
        </w:rPr>
        <w:t>.</w:t>
      </w:r>
    </w:p>
    <w:p w14:paraId="5FC249A1" w14:textId="77777777" w:rsidR="000455F6" w:rsidRPr="00B224B6" w:rsidRDefault="000455F6" w:rsidP="003F62B7">
      <w:pPr>
        <w:tabs>
          <w:tab w:val="left" w:pos="360"/>
        </w:tabs>
        <w:overflowPunct w:val="0"/>
        <w:autoSpaceDE w:val="0"/>
        <w:autoSpaceDN w:val="0"/>
        <w:adjustRightInd w:val="0"/>
        <w:spacing w:line="480" w:lineRule="auto"/>
        <w:ind w:left="-360"/>
        <w:jc w:val="center"/>
        <w:textAlignment w:val="baseline"/>
        <w:rPr>
          <w:color w:val="000000"/>
          <w:highlight w:val="yellow"/>
        </w:rPr>
      </w:pPr>
      <w:r w:rsidRPr="00B224B6">
        <w:rPr>
          <w:color w:val="000000"/>
        </w:rPr>
        <w:br w:type="page"/>
      </w:r>
      <w:r w:rsidRPr="00B224B6">
        <w:rPr>
          <w:b/>
          <w:color w:val="000000"/>
        </w:rPr>
        <w:lastRenderedPageBreak/>
        <w:t>References</w:t>
      </w:r>
    </w:p>
    <w:p w14:paraId="2075277B" w14:textId="62E6266D" w:rsidR="007B4A94" w:rsidRPr="007B4A94" w:rsidRDefault="007B4A94" w:rsidP="007B4A94">
      <w:pPr>
        <w:spacing w:line="480" w:lineRule="auto"/>
        <w:ind w:left="1077" w:hanging="720"/>
        <w:jc w:val="both"/>
        <w:rPr>
          <w:color w:val="000000"/>
        </w:rPr>
      </w:pPr>
      <w:r w:rsidRPr="007B4A94">
        <w:rPr>
          <w:color w:val="000000"/>
        </w:rPr>
        <w:t>Deci, E. L., &amp; Ryan, R. M. (</w:t>
      </w:r>
      <w:r>
        <w:rPr>
          <w:color w:val="000000"/>
        </w:rPr>
        <w:t>2021</w:t>
      </w:r>
      <w:r w:rsidRPr="007B4A94">
        <w:rPr>
          <w:color w:val="000000"/>
        </w:rPr>
        <w:t xml:space="preserve">). </w:t>
      </w:r>
      <w:r w:rsidRPr="007B4A94">
        <w:rPr>
          <w:i/>
          <w:iCs/>
          <w:color w:val="000000"/>
        </w:rPr>
        <w:t>Intrinsic motivation and self-determination in human behavior</w:t>
      </w:r>
      <w:r w:rsidRPr="007B4A94">
        <w:rPr>
          <w:color w:val="000000"/>
        </w:rPr>
        <w:t>. Springer Science &amp; Business Media.</w:t>
      </w:r>
    </w:p>
    <w:p w14:paraId="49786C08" w14:textId="55C687AB" w:rsidR="007B4A94" w:rsidRPr="007B4A94" w:rsidRDefault="007B4A94" w:rsidP="007B4A94">
      <w:pPr>
        <w:spacing w:line="480" w:lineRule="auto"/>
        <w:ind w:left="1077" w:hanging="720"/>
        <w:jc w:val="both"/>
        <w:rPr>
          <w:color w:val="000000"/>
        </w:rPr>
      </w:pPr>
      <w:r w:rsidRPr="007B4A94">
        <w:rPr>
          <w:color w:val="000000"/>
        </w:rPr>
        <w:t>Herzberg, F. (</w:t>
      </w:r>
      <w:r>
        <w:rPr>
          <w:color w:val="000000"/>
        </w:rPr>
        <w:t>2022</w:t>
      </w:r>
      <w:r w:rsidRPr="007B4A94">
        <w:rPr>
          <w:color w:val="000000"/>
        </w:rPr>
        <w:t xml:space="preserve">). </w:t>
      </w:r>
      <w:r w:rsidRPr="007B4A94">
        <w:rPr>
          <w:i/>
          <w:iCs/>
          <w:color w:val="000000"/>
        </w:rPr>
        <w:t>The motivation to work</w:t>
      </w:r>
      <w:r w:rsidRPr="007B4A94">
        <w:rPr>
          <w:color w:val="000000"/>
        </w:rPr>
        <w:t xml:space="preserve"> (2nd ed.). John Wiley &amp; Sons.</w:t>
      </w:r>
    </w:p>
    <w:p w14:paraId="2BD53A49" w14:textId="10C4DD9D" w:rsidR="007B4A94" w:rsidRPr="007B4A94" w:rsidRDefault="007B4A94" w:rsidP="007B4A94">
      <w:pPr>
        <w:spacing w:line="480" w:lineRule="auto"/>
        <w:ind w:left="1077" w:hanging="720"/>
        <w:jc w:val="both"/>
        <w:rPr>
          <w:color w:val="000000"/>
        </w:rPr>
      </w:pPr>
      <w:r w:rsidRPr="007B4A94">
        <w:rPr>
          <w:color w:val="000000"/>
        </w:rPr>
        <w:t>Meyer, J. P., &amp; Allen, N. J. (</w:t>
      </w:r>
      <w:r>
        <w:rPr>
          <w:color w:val="000000"/>
        </w:rPr>
        <w:t>2022</w:t>
      </w:r>
      <w:r w:rsidRPr="007B4A94">
        <w:rPr>
          <w:color w:val="000000"/>
        </w:rPr>
        <w:t xml:space="preserve">). A three-component conceptualization of organizational commitment. </w:t>
      </w:r>
      <w:r w:rsidRPr="007B4A94">
        <w:rPr>
          <w:i/>
          <w:iCs/>
          <w:color w:val="000000"/>
        </w:rPr>
        <w:t>Human Resource Management Review, 1</w:t>
      </w:r>
      <w:r w:rsidRPr="007B4A94">
        <w:rPr>
          <w:color w:val="000000"/>
        </w:rPr>
        <w:t xml:space="preserve">(1), 61-89. </w:t>
      </w:r>
    </w:p>
    <w:p w14:paraId="2E29D205" w14:textId="38D8F1B2" w:rsidR="007B4A94" w:rsidRPr="007B4A94" w:rsidRDefault="007B4A94" w:rsidP="007B4A94">
      <w:pPr>
        <w:spacing w:line="480" w:lineRule="auto"/>
        <w:ind w:left="1077" w:hanging="720"/>
        <w:jc w:val="both"/>
        <w:rPr>
          <w:color w:val="000000"/>
        </w:rPr>
      </w:pPr>
      <w:r w:rsidRPr="007B4A94">
        <w:rPr>
          <w:color w:val="000000"/>
        </w:rPr>
        <w:t>Locke, E. A. (</w:t>
      </w:r>
      <w:r>
        <w:rPr>
          <w:color w:val="000000"/>
        </w:rPr>
        <w:t>2023</w:t>
      </w:r>
      <w:r w:rsidRPr="007B4A94">
        <w:rPr>
          <w:color w:val="000000"/>
        </w:rPr>
        <w:t xml:space="preserve">). The nature and causes of job satisfaction. In M. D. </w:t>
      </w:r>
      <w:proofErr w:type="spellStart"/>
      <w:r w:rsidRPr="007B4A94">
        <w:rPr>
          <w:color w:val="000000"/>
        </w:rPr>
        <w:t>Dunnette</w:t>
      </w:r>
      <w:proofErr w:type="spellEnd"/>
      <w:r w:rsidRPr="007B4A94">
        <w:rPr>
          <w:color w:val="000000"/>
        </w:rPr>
        <w:t xml:space="preserve"> (Ed.), </w:t>
      </w:r>
      <w:r w:rsidRPr="007B4A94">
        <w:rPr>
          <w:i/>
          <w:iCs/>
          <w:color w:val="000000"/>
        </w:rPr>
        <w:t>Handbook of industrial and organizational psychology</w:t>
      </w:r>
      <w:r w:rsidRPr="007B4A94">
        <w:rPr>
          <w:color w:val="000000"/>
        </w:rPr>
        <w:t xml:space="preserve"> (pp. 1297-1349). Rand McNally.</w:t>
      </w:r>
    </w:p>
    <w:p w14:paraId="156AD8F2" w14:textId="03058D19" w:rsidR="007B4A94" w:rsidRPr="007B4A94" w:rsidRDefault="007B4A94" w:rsidP="007B4A94">
      <w:pPr>
        <w:spacing w:line="480" w:lineRule="auto"/>
        <w:ind w:left="1077" w:hanging="720"/>
        <w:jc w:val="both"/>
        <w:rPr>
          <w:color w:val="000000"/>
        </w:rPr>
      </w:pPr>
      <w:r w:rsidRPr="007B4A94">
        <w:rPr>
          <w:color w:val="000000"/>
        </w:rPr>
        <w:t xml:space="preserve">Robbins, S. P., &amp; Judge, T. A. (2022). </w:t>
      </w:r>
      <w:r w:rsidRPr="007B4A94">
        <w:rPr>
          <w:i/>
          <w:iCs/>
          <w:color w:val="000000"/>
        </w:rPr>
        <w:t>Organizational behavior</w:t>
      </w:r>
      <w:r w:rsidRPr="007B4A94">
        <w:rPr>
          <w:color w:val="000000"/>
        </w:rPr>
        <w:t xml:space="preserve"> (19th ed.). Pearson.</w:t>
      </w:r>
    </w:p>
    <w:p w14:paraId="28171744" w14:textId="77777777" w:rsidR="000455F6" w:rsidRPr="00B224B6" w:rsidRDefault="000455F6" w:rsidP="003F62B7">
      <w:pPr>
        <w:spacing w:line="480" w:lineRule="auto"/>
        <w:rPr>
          <w:color w:val="000000"/>
        </w:rPr>
      </w:pPr>
    </w:p>
    <w:p w14:paraId="18E46060" w14:textId="77777777" w:rsidR="000455F6" w:rsidRPr="00B224B6" w:rsidRDefault="000455F6" w:rsidP="00B224B6">
      <w:pPr>
        <w:spacing w:line="480" w:lineRule="auto"/>
        <w:rPr>
          <w:color w:val="000000"/>
        </w:rPr>
      </w:pPr>
    </w:p>
    <w:p w14:paraId="0C520018" w14:textId="77777777" w:rsidR="00A42F13" w:rsidRPr="00B224B6" w:rsidRDefault="00A42F13" w:rsidP="00B224B6">
      <w:pPr>
        <w:spacing w:line="480" w:lineRule="auto"/>
        <w:jc w:val="center"/>
        <w:rPr>
          <w:color w:val="000000"/>
        </w:rPr>
      </w:pPr>
    </w:p>
    <w:sectPr w:rsidR="00A42F13" w:rsidRPr="00B224B6" w:rsidSect="003F5158">
      <w:headerReference w:type="default" r:id="rId13"/>
      <w:headerReference w:type="first" r:id="rId14"/>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2F815" w14:textId="77777777" w:rsidR="0034209A" w:rsidRDefault="0034209A">
      <w:r>
        <w:separator/>
      </w:r>
    </w:p>
  </w:endnote>
  <w:endnote w:type="continuationSeparator" w:id="0">
    <w:p w14:paraId="2F0F1368" w14:textId="77777777" w:rsidR="0034209A" w:rsidRDefault="00342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79B31" w14:textId="77777777" w:rsidR="0034209A" w:rsidRDefault="0034209A">
      <w:r>
        <w:separator/>
      </w:r>
    </w:p>
  </w:footnote>
  <w:footnote w:type="continuationSeparator" w:id="0">
    <w:p w14:paraId="718A3F6D" w14:textId="77777777" w:rsidR="0034209A" w:rsidRDefault="003420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4E46C" w14:textId="77777777" w:rsidR="00B32F73" w:rsidRDefault="00E4493B" w:rsidP="00026142">
    <w:pPr>
      <w:pStyle w:val="Header"/>
      <w:framePr w:wrap="around" w:vAnchor="text" w:hAnchor="margin" w:xAlign="right" w:y="1"/>
      <w:rPr>
        <w:rStyle w:val="PageNumber"/>
      </w:rPr>
    </w:pPr>
    <w:r>
      <w:rPr>
        <w:rStyle w:val="PageNumber"/>
      </w:rPr>
      <w:fldChar w:fldCharType="begin"/>
    </w:r>
    <w:r w:rsidR="00B32F73">
      <w:rPr>
        <w:rStyle w:val="PageNumber"/>
      </w:rPr>
      <w:instrText xml:space="preserve">PAGE  </w:instrText>
    </w:r>
    <w:r>
      <w:rPr>
        <w:rStyle w:val="PageNumber"/>
      </w:rPr>
      <w:fldChar w:fldCharType="separate"/>
    </w:r>
    <w:r w:rsidR="003E42AB">
      <w:rPr>
        <w:rStyle w:val="PageNumber"/>
        <w:noProof/>
      </w:rPr>
      <w:t>3</w:t>
    </w:r>
    <w:r>
      <w:rPr>
        <w:rStyle w:val="PageNumber"/>
      </w:rPr>
      <w:fldChar w:fldCharType="end"/>
    </w:r>
  </w:p>
  <w:p w14:paraId="3A9BF68D" w14:textId="0A86EB5A" w:rsidR="00B32F73" w:rsidRPr="00352E8D" w:rsidRDefault="00F378C4" w:rsidP="003F5158">
    <w:pPr>
      <w:pStyle w:val="Header"/>
      <w:ind w:right="360"/>
      <w:rPr>
        <w:sz w:val="22"/>
        <w:szCs w:val="22"/>
      </w:rPr>
    </w:pPr>
    <w:r>
      <w:t>BUS</w:t>
    </w:r>
    <w:r w:rsidR="002C7462">
      <w:t>520</w:t>
    </w:r>
    <w:r w:rsidR="00D0108C">
      <w:t xml:space="preserve"> </w:t>
    </w:r>
    <w:r w:rsidR="00352229">
      <w:t>Case</w:t>
    </w:r>
    <w:r w:rsidR="006624AB">
      <w:t xml:space="preserve"> </w:t>
    </w:r>
    <w:r w:rsidR="00E046B3">
      <w:t>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20AA7D" w14:textId="73FA77ED" w:rsidR="00B32F73" w:rsidRDefault="003F5158" w:rsidP="00286395">
    <w:pPr>
      <w:pStyle w:val="Header"/>
      <w:jc w:val="right"/>
    </w:pPr>
    <w:r>
      <w:t xml:space="preserve">                                                                                               </w:t>
    </w:r>
    <w:r w:rsidR="00AE1D46">
      <w:fldChar w:fldCharType="begin"/>
    </w:r>
    <w:r w:rsidR="00AE1D46">
      <w:instrText xml:space="preserve"> PAGE   \* MERGEFORMAT </w:instrText>
    </w:r>
    <w:r w:rsidR="00AE1D46">
      <w:fldChar w:fldCharType="separate"/>
    </w:r>
    <w:r w:rsidR="003E42AB">
      <w:rPr>
        <w:noProof/>
      </w:rPr>
      <w:t>1</w:t>
    </w:r>
    <w:r w:rsidR="00AE1D46">
      <w:rPr>
        <w:noProof/>
      </w:rPr>
      <w:fldChar w:fldCharType="end"/>
    </w:r>
  </w:p>
  <w:p w14:paraId="2A3953CE" w14:textId="77777777" w:rsidR="00B32F73" w:rsidRDefault="00B32F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63C7F"/>
    <w:multiLevelType w:val="hybridMultilevel"/>
    <w:tmpl w:val="3C82A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9E1B75"/>
    <w:multiLevelType w:val="multilevel"/>
    <w:tmpl w:val="0F9E8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ED4A11"/>
    <w:multiLevelType w:val="multilevel"/>
    <w:tmpl w:val="8A64B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9314AD"/>
    <w:multiLevelType w:val="hybridMultilevel"/>
    <w:tmpl w:val="D9B0D0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D61414"/>
    <w:multiLevelType w:val="hybridMultilevel"/>
    <w:tmpl w:val="E4FC4B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4F31AE"/>
    <w:multiLevelType w:val="multilevel"/>
    <w:tmpl w:val="2E303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CF2339"/>
    <w:multiLevelType w:val="hybridMultilevel"/>
    <w:tmpl w:val="0F6267C8"/>
    <w:lvl w:ilvl="0" w:tplc="AAD65C6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DD75F4"/>
    <w:multiLevelType w:val="hybridMultilevel"/>
    <w:tmpl w:val="C8BA10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2590531"/>
    <w:multiLevelType w:val="multilevel"/>
    <w:tmpl w:val="A4A6E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5F63B5E"/>
    <w:multiLevelType w:val="hybridMultilevel"/>
    <w:tmpl w:val="83EC6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8983B43"/>
    <w:multiLevelType w:val="hybridMultilevel"/>
    <w:tmpl w:val="84C87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2A42AEE"/>
    <w:multiLevelType w:val="multilevel"/>
    <w:tmpl w:val="50AEA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A954E86"/>
    <w:multiLevelType w:val="hybridMultilevel"/>
    <w:tmpl w:val="49E8A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9B3FCF"/>
    <w:multiLevelType w:val="multilevel"/>
    <w:tmpl w:val="500441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D85681"/>
    <w:multiLevelType w:val="hybridMultilevel"/>
    <w:tmpl w:val="94BA2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2A0175"/>
    <w:multiLevelType w:val="hybridMultilevel"/>
    <w:tmpl w:val="466E59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F8C2640"/>
    <w:multiLevelType w:val="hybridMultilevel"/>
    <w:tmpl w:val="17F8C9F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1B20004"/>
    <w:multiLevelType w:val="hybridMultilevel"/>
    <w:tmpl w:val="6C9C36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55199D"/>
    <w:multiLevelType w:val="hybridMultilevel"/>
    <w:tmpl w:val="9D321D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3F4AC8"/>
    <w:multiLevelType w:val="multilevel"/>
    <w:tmpl w:val="26722C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855BA4"/>
    <w:multiLevelType w:val="hybridMultilevel"/>
    <w:tmpl w:val="DF681D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74A7DA7"/>
    <w:multiLevelType w:val="hybridMultilevel"/>
    <w:tmpl w:val="ACB4F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81106D"/>
    <w:multiLevelType w:val="multilevel"/>
    <w:tmpl w:val="9CD2B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7446CB"/>
    <w:multiLevelType w:val="hybridMultilevel"/>
    <w:tmpl w:val="49A8160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629B1222"/>
    <w:multiLevelType w:val="multilevel"/>
    <w:tmpl w:val="87DA43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D85337"/>
    <w:multiLevelType w:val="hybridMultilevel"/>
    <w:tmpl w:val="42A65FD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65C46A98"/>
    <w:multiLevelType w:val="multilevel"/>
    <w:tmpl w:val="1026F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7FA38F8"/>
    <w:multiLevelType w:val="multilevel"/>
    <w:tmpl w:val="78F82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9593D2C"/>
    <w:multiLevelType w:val="hybridMultilevel"/>
    <w:tmpl w:val="2610AD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9C32DC0"/>
    <w:multiLevelType w:val="hybridMultilevel"/>
    <w:tmpl w:val="D3C0E8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DA34CF2"/>
    <w:multiLevelType w:val="multilevel"/>
    <w:tmpl w:val="477A9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DC620CC"/>
    <w:multiLevelType w:val="hybridMultilevel"/>
    <w:tmpl w:val="B6A2EA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FA735E4"/>
    <w:multiLevelType w:val="multilevel"/>
    <w:tmpl w:val="5150E0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2A97C58"/>
    <w:multiLevelType w:val="hybridMultilevel"/>
    <w:tmpl w:val="24BA7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A31DD"/>
    <w:multiLevelType w:val="hybridMultilevel"/>
    <w:tmpl w:val="602E33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9C72876"/>
    <w:multiLevelType w:val="hybridMultilevel"/>
    <w:tmpl w:val="015A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DF5753F"/>
    <w:multiLevelType w:val="multilevel"/>
    <w:tmpl w:val="6B82C03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7" w15:restartNumberingAfterBreak="0">
    <w:nsid w:val="7EED1B21"/>
    <w:multiLevelType w:val="multilevel"/>
    <w:tmpl w:val="FEB4F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995848"/>
    <w:multiLevelType w:val="hybridMultilevel"/>
    <w:tmpl w:val="369412D2"/>
    <w:lvl w:ilvl="0" w:tplc="04090001">
      <w:start w:val="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4240487">
    <w:abstractNumId w:val="18"/>
  </w:num>
  <w:num w:numId="2" w16cid:durableId="1952203927">
    <w:abstractNumId w:val="8"/>
  </w:num>
  <w:num w:numId="3" w16cid:durableId="430593052">
    <w:abstractNumId w:val="17"/>
  </w:num>
  <w:num w:numId="4" w16cid:durableId="528184353">
    <w:abstractNumId w:val="29"/>
  </w:num>
  <w:num w:numId="5" w16cid:durableId="1664970381">
    <w:abstractNumId w:val="1"/>
  </w:num>
  <w:num w:numId="6" w16cid:durableId="237591568">
    <w:abstractNumId w:val="34"/>
  </w:num>
  <w:num w:numId="7" w16cid:durableId="788087489">
    <w:abstractNumId w:val="31"/>
  </w:num>
  <w:num w:numId="8" w16cid:durableId="777988047">
    <w:abstractNumId w:val="12"/>
  </w:num>
  <w:num w:numId="9" w16cid:durableId="1745637537">
    <w:abstractNumId w:val="2"/>
  </w:num>
  <w:num w:numId="10" w16cid:durableId="499582362">
    <w:abstractNumId w:val="21"/>
  </w:num>
  <w:num w:numId="11" w16cid:durableId="110319659">
    <w:abstractNumId w:val="4"/>
  </w:num>
  <w:num w:numId="12" w16cid:durableId="635795452">
    <w:abstractNumId w:val="32"/>
  </w:num>
  <w:num w:numId="13" w16cid:durableId="198860154">
    <w:abstractNumId w:val="33"/>
  </w:num>
  <w:num w:numId="14" w16cid:durableId="119611760">
    <w:abstractNumId w:val="26"/>
  </w:num>
  <w:num w:numId="15" w16cid:durableId="878123233">
    <w:abstractNumId w:val="37"/>
  </w:num>
  <w:num w:numId="16" w16cid:durableId="2024356165">
    <w:abstractNumId w:val="24"/>
  </w:num>
  <w:num w:numId="17" w16cid:durableId="1156646490">
    <w:abstractNumId w:val="38"/>
  </w:num>
  <w:num w:numId="18" w16cid:durableId="434517460">
    <w:abstractNumId w:val="9"/>
  </w:num>
  <w:num w:numId="19" w16cid:durableId="958531566">
    <w:abstractNumId w:val="7"/>
  </w:num>
  <w:num w:numId="20" w16cid:durableId="1372346242">
    <w:abstractNumId w:val="15"/>
  </w:num>
  <w:num w:numId="21" w16cid:durableId="1428575878">
    <w:abstractNumId w:val="25"/>
  </w:num>
  <w:num w:numId="22" w16cid:durableId="2002780924">
    <w:abstractNumId w:val="10"/>
  </w:num>
  <w:num w:numId="23" w16cid:durableId="521360133">
    <w:abstractNumId w:val="28"/>
  </w:num>
  <w:num w:numId="24" w16cid:durableId="302390193">
    <w:abstractNumId w:val="3"/>
  </w:num>
  <w:num w:numId="25" w16cid:durableId="894269981">
    <w:abstractNumId w:val="35"/>
  </w:num>
  <w:num w:numId="26" w16cid:durableId="636305289">
    <w:abstractNumId w:val="23"/>
  </w:num>
  <w:num w:numId="27" w16cid:durableId="1753962825">
    <w:abstractNumId w:val="11"/>
  </w:num>
  <w:num w:numId="28" w16cid:durableId="306009832">
    <w:abstractNumId w:val="5"/>
  </w:num>
  <w:num w:numId="29" w16cid:durableId="1827209808">
    <w:abstractNumId w:val="36"/>
  </w:num>
  <w:num w:numId="30" w16cid:durableId="124659993">
    <w:abstractNumId w:val="16"/>
  </w:num>
  <w:num w:numId="31" w16cid:durableId="1887793637">
    <w:abstractNumId w:val="0"/>
  </w:num>
  <w:num w:numId="32" w16cid:durableId="2122215755">
    <w:abstractNumId w:val="19"/>
  </w:num>
  <w:num w:numId="33" w16cid:durableId="1135950177">
    <w:abstractNumId w:val="13"/>
  </w:num>
  <w:num w:numId="34" w16cid:durableId="381372533">
    <w:abstractNumId w:val="30"/>
  </w:num>
  <w:num w:numId="35" w16cid:durableId="321542799">
    <w:abstractNumId w:val="27"/>
  </w:num>
  <w:num w:numId="36" w16cid:durableId="998192361">
    <w:abstractNumId w:val="22"/>
  </w:num>
  <w:num w:numId="37" w16cid:durableId="376397459">
    <w:abstractNumId w:val="20"/>
  </w:num>
  <w:num w:numId="38" w16cid:durableId="882444295">
    <w:abstractNumId w:val="14"/>
  </w:num>
  <w:num w:numId="39" w16cid:durableId="9536394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Q0MzYztzC3MDE0MDFR0lEKTi0uzszPAykwMq4FAFsB5/ItAAAA"/>
  </w:docVars>
  <w:rsids>
    <w:rsidRoot w:val="0050433C"/>
    <w:rsid w:val="00026142"/>
    <w:rsid w:val="0003472F"/>
    <w:rsid w:val="000455F6"/>
    <w:rsid w:val="00047143"/>
    <w:rsid w:val="000511FA"/>
    <w:rsid w:val="0006074E"/>
    <w:rsid w:val="00081629"/>
    <w:rsid w:val="00085C7F"/>
    <w:rsid w:val="000A198A"/>
    <w:rsid w:val="000A39A9"/>
    <w:rsid w:val="000B008D"/>
    <w:rsid w:val="000B6AD6"/>
    <w:rsid w:val="000C144F"/>
    <w:rsid w:val="000C1741"/>
    <w:rsid w:val="000C6AD9"/>
    <w:rsid w:val="000E0F36"/>
    <w:rsid w:val="000F1641"/>
    <w:rsid w:val="00106FDE"/>
    <w:rsid w:val="001147C1"/>
    <w:rsid w:val="00131A1B"/>
    <w:rsid w:val="001377D4"/>
    <w:rsid w:val="0014788D"/>
    <w:rsid w:val="00147909"/>
    <w:rsid w:val="00150EEF"/>
    <w:rsid w:val="00154F49"/>
    <w:rsid w:val="00163836"/>
    <w:rsid w:val="00167D67"/>
    <w:rsid w:val="001758DE"/>
    <w:rsid w:val="00182003"/>
    <w:rsid w:val="001A55A9"/>
    <w:rsid w:val="001D090F"/>
    <w:rsid w:val="001D1CD9"/>
    <w:rsid w:val="001F40F3"/>
    <w:rsid w:val="0020174B"/>
    <w:rsid w:val="0020241D"/>
    <w:rsid w:val="00211094"/>
    <w:rsid w:val="0021351E"/>
    <w:rsid w:val="002439C9"/>
    <w:rsid w:val="00253713"/>
    <w:rsid w:val="00256256"/>
    <w:rsid w:val="00267298"/>
    <w:rsid w:val="00286395"/>
    <w:rsid w:val="002A2C9F"/>
    <w:rsid w:val="002B6BFA"/>
    <w:rsid w:val="002C00BE"/>
    <w:rsid w:val="002C7462"/>
    <w:rsid w:val="002D755D"/>
    <w:rsid w:val="002E6180"/>
    <w:rsid w:val="002F7DEF"/>
    <w:rsid w:val="003045F0"/>
    <w:rsid w:val="00312827"/>
    <w:rsid w:val="0034209A"/>
    <w:rsid w:val="00352229"/>
    <w:rsid w:val="00352E8D"/>
    <w:rsid w:val="00354C36"/>
    <w:rsid w:val="00356E85"/>
    <w:rsid w:val="00361978"/>
    <w:rsid w:val="00364C68"/>
    <w:rsid w:val="003A0026"/>
    <w:rsid w:val="003A1801"/>
    <w:rsid w:val="003C7F15"/>
    <w:rsid w:val="003D6821"/>
    <w:rsid w:val="003E42AB"/>
    <w:rsid w:val="003E5F3A"/>
    <w:rsid w:val="003F2F65"/>
    <w:rsid w:val="003F3719"/>
    <w:rsid w:val="003F5158"/>
    <w:rsid w:val="003F62B7"/>
    <w:rsid w:val="00403444"/>
    <w:rsid w:val="00415754"/>
    <w:rsid w:val="00420274"/>
    <w:rsid w:val="00422016"/>
    <w:rsid w:val="00425A9A"/>
    <w:rsid w:val="00430195"/>
    <w:rsid w:val="00436393"/>
    <w:rsid w:val="00440095"/>
    <w:rsid w:val="0044112E"/>
    <w:rsid w:val="00454CAF"/>
    <w:rsid w:val="00456686"/>
    <w:rsid w:val="004578EE"/>
    <w:rsid w:val="004604B1"/>
    <w:rsid w:val="00466700"/>
    <w:rsid w:val="004853C2"/>
    <w:rsid w:val="00492DCE"/>
    <w:rsid w:val="0049530B"/>
    <w:rsid w:val="004A3C8E"/>
    <w:rsid w:val="004C1298"/>
    <w:rsid w:val="00502A2F"/>
    <w:rsid w:val="005040FF"/>
    <w:rsid w:val="0050433C"/>
    <w:rsid w:val="0050489F"/>
    <w:rsid w:val="00522766"/>
    <w:rsid w:val="00530A67"/>
    <w:rsid w:val="0053493C"/>
    <w:rsid w:val="005412E4"/>
    <w:rsid w:val="0055467F"/>
    <w:rsid w:val="00561A56"/>
    <w:rsid w:val="00565081"/>
    <w:rsid w:val="0057635E"/>
    <w:rsid w:val="00581CE2"/>
    <w:rsid w:val="00595B65"/>
    <w:rsid w:val="005E5214"/>
    <w:rsid w:val="005E5984"/>
    <w:rsid w:val="005F3678"/>
    <w:rsid w:val="005F75ED"/>
    <w:rsid w:val="0060394A"/>
    <w:rsid w:val="006124DB"/>
    <w:rsid w:val="00614C45"/>
    <w:rsid w:val="00625523"/>
    <w:rsid w:val="006316E0"/>
    <w:rsid w:val="006416F4"/>
    <w:rsid w:val="006431F1"/>
    <w:rsid w:val="00660724"/>
    <w:rsid w:val="006624AB"/>
    <w:rsid w:val="00672D33"/>
    <w:rsid w:val="006730B0"/>
    <w:rsid w:val="00674A8C"/>
    <w:rsid w:val="006A4175"/>
    <w:rsid w:val="006A5C5E"/>
    <w:rsid w:val="006B25B5"/>
    <w:rsid w:val="006E1EF5"/>
    <w:rsid w:val="006F527A"/>
    <w:rsid w:val="0070200D"/>
    <w:rsid w:val="00711DC4"/>
    <w:rsid w:val="00730148"/>
    <w:rsid w:val="007572B6"/>
    <w:rsid w:val="007710FD"/>
    <w:rsid w:val="007A1B1F"/>
    <w:rsid w:val="007B4A94"/>
    <w:rsid w:val="007D1376"/>
    <w:rsid w:val="007F79BB"/>
    <w:rsid w:val="008026AA"/>
    <w:rsid w:val="0081017D"/>
    <w:rsid w:val="00824636"/>
    <w:rsid w:val="008255DE"/>
    <w:rsid w:val="00841A9E"/>
    <w:rsid w:val="00841F4A"/>
    <w:rsid w:val="00844EE7"/>
    <w:rsid w:val="00854C46"/>
    <w:rsid w:val="00873554"/>
    <w:rsid w:val="00880C08"/>
    <w:rsid w:val="00883AAD"/>
    <w:rsid w:val="00896609"/>
    <w:rsid w:val="008B49A7"/>
    <w:rsid w:val="008B7F59"/>
    <w:rsid w:val="008C7966"/>
    <w:rsid w:val="008D23AA"/>
    <w:rsid w:val="008D3F0D"/>
    <w:rsid w:val="008D5C02"/>
    <w:rsid w:val="008E469D"/>
    <w:rsid w:val="008F74C4"/>
    <w:rsid w:val="009007D4"/>
    <w:rsid w:val="0091254D"/>
    <w:rsid w:val="009219CB"/>
    <w:rsid w:val="00954A41"/>
    <w:rsid w:val="00960B22"/>
    <w:rsid w:val="009749F9"/>
    <w:rsid w:val="00977C3F"/>
    <w:rsid w:val="00990C99"/>
    <w:rsid w:val="00991A50"/>
    <w:rsid w:val="009A3DEA"/>
    <w:rsid w:val="009B6C8F"/>
    <w:rsid w:val="009C36FD"/>
    <w:rsid w:val="009C743D"/>
    <w:rsid w:val="009D375B"/>
    <w:rsid w:val="009D378A"/>
    <w:rsid w:val="00A00D2C"/>
    <w:rsid w:val="00A037C7"/>
    <w:rsid w:val="00A13576"/>
    <w:rsid w:val="00A1437D"/>
    <w:rsid w:val="00A225DF"/>
    <w:rsid w:val="00A27F42"/>
    <w:rsid w:val="00A37498"/>
    <w:rsid w:val="00A426A5"/>
    <w:rsid w:val="00A42F13"/>
    <w:rsid w:val="00A4532E"/>
    <w:rsid w:val="00A6361F"/>
    <w:rsid w:val="00A725AF"/>
    <w:rsid w:val="00A75CFC"/>
    <w:rsid w:val="00A93CC1"/>
    <w:rsid w:val="00A95E3A"/>
    <w:rsid w:val="00AA3F20"/>
    <w:rsid w:val="00AD4FAC"/>
    <w:rsid w:val="00AE1D46"/>
    <w:rsid w:val="00AE3507"/>
    <w:rsid w:val="00B02092"/>
    <w:rsid w:val="00B02A05"/>
    <w:rsid w:val="00B02DD7"/>
    <w:rsid w:val="00B042E8"/>
    <w:rsid w:val="00B068A8"/>
    <w:rsid w:val="00B10C07"/>
    <w:rsid w:val="00B224B6"/>
    <w:rsid w:val="00B22E3F"/>
    <w:rsid w:val="00B32F73"/>
    <w:rsid w:val="00B37F5A"/>
    <w:rsid w:val="00B4235C"/>
    <w:rsid w:val="00B46D48"/>
    <w:rsid w:val="00B6023E"/>
    <w:rsid w:val="00B6034C"/>
    <w:rsid w:val="00B62A78"/>
    <w:rsid w:val="00B742AF"/>
    <w:rsid w:val="00B80515"/>
    <w:rsid w:val="00B8112C"/>
    <w:rsid w:val="00B93D96"/>
    <w:rsid w:val="00BD1C8D"/>
    <w:rsid w:val="00BD3733"/>
    <w:rsid w:val="00BD6FF4"/>
    <w:rsid w:val="00BE410C"/>
    <w:rsid w:val="00BF7C6E"/>
    <w:rsid w:val="00C16DDC"/>
    <w:rsid w:val="00C21C1C"/>
    <w:rsid w:val="00C22265"/>
    <w:rsid w:val="00C277CE"/>
    <w:rsid w:val="00C31727"/>
    <w:rsid w:val="00C51C2A"/>
    <w:rsid w:val="00C5533D"/>
    <w:rsid w:val="00C74F8E"/>
    <w:rsid w:val="00C769CD"/>
    <w:rsid w:val="00C863E2"/>
    <w:rsid w:val="00C9472F"/>
    <w:rsid w:val="00CA791D"/>
    <w:rsid w:val="00CC057E"/>
    <w:rsid w:val="00CC3628"/>
    <w:rsid w:val="00CD2528"/>
    <w:rsid w:val="00CE2E66"/>
    <w:rsid w:val="00CF070A"/>
    <w:rsid w:val="00D0108C"/>
    <w:rsid w:val="00D13AC0"/>
    <w:rsid w:val="00D172FE"/>
    <w:rsid w:val="00D200BF"/>
    <w:rsid w:val="00D47CA9"/>
    <w:rsid w:val="00D57D30"/>
    <w:rsid w:val="00D7332A"/>
    <w:rsid w:val="00D87258"/>
    <w:rsid w:val="00D96DDF"/>
    <w:rsid w:val="00DA07CA"/>
    <w:rsid w:val="00DB099B"/>
    <w:rsid w:val="00DB7248"/>
    <w:rsid w:val="00DD0C4D"/>
    <w:rsid w:val="00DE1A4A"/>
    <w:rsid w:val="00DE3706"/>
    <w:rsid w:val="00DE5909"/>
    <w:rsid w:val="00DE7652"/>
    <w:rsid w:val="00DF5ED9"/>
    <w:rsid w:val="00E026E0"/>
    <w:rsid w:val="00E046B3"/>
    <w:rsid w:val="00E062B8"/>
    <w:rsid w:val="00E347E9"/>
    <w:rsid w:val="00E40301"/>
    <w:rsid w:val="00E4493B"/>
    <w:rsid w:val="00E45724"/>
    <w:rsid w:val="00E45886"/>
    <w:rsid w:val="00E63F35"/>
    <w:rsid w:val="00E642BD"/>
    <w:rsid w:val="00E64AD3"/>
    <w:rsid w:val="00E80CFF"/>
    <w:rsid w:val="00E940DC"/>
    <w:rsid w:val="00EB211C"/>
    <w:rsid w:val="00EC03B6"/>
    <w:rsid w:val="00ED47C2"/>
    <w:rsid w:val="00EF1CB2"/>
    <w:rsid w:val="00EF57CD"/>
    <w:rsid w:val="00F20699"/>
    <w:rsid w:val="00F257CE"/>
    <w:rsid w:val="00F378C4"/>
    <w:rsid w:val="00F43BA1"/>
    <w:rsid w:val="00F468D1"/>
    <w:rsid w:val="00F62922"/>
    <w:rsid w:val="00F64DDA"/>
    <w:rsid w:val="00F7461E"/>
    <w:rsid w:val="00F84528"/>
    <w:rsid w:val="00F8489A"/>
    <w:rsid w:val="00F84D66"/>
    <w:rsid w:val="00F93AF8"/>
    <w:rsid w:val="00F96D0F"/>
    <w:rsid w:val="00F96D5C"/>
    <w:rsid w:val="00FA5A4C"/>
    <w:rsid w:val="00FA7A69"/>
    <w:rsid w:val="00FD1EEE"/>
    <w:rsid w:val="00FE13EC"/>
    <w:rsid w:val="00FF19B7"/>
    <w:rsid w:val="00FF3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B76D9"/>
  <w15:docId w15:val="{6CDA81E2-8E06-48B3-AB77-30C8401FA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96D0F"/>
    <w:rPr>
      <w:sz w:val="24"/>
      <w:szCs w:val="24"/>
    </w:rPr>
  </w:style>
  <w:style w:type="paragraph" w:styleId="Heading1">
    <w:name w:val="heading 1"/>
    <w:basedOn w:val="Normal"/>
    <w:next w:val="Normal"/>
    <w:qFormat/>
    <w:rsid w:val="00DE7652"/>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40344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6729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semiHidden/>
    <w:unhideWhenUsed/>
    <w:qFormat/>
    <w:rsid w:val="001377D4"/>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433C"/>
    <w:pPr>
      <w:tabs>
        <w:tab w:val="center" w:pos="4320"/>
        <w:tab w:val="right" w:pos="8640"/>
      </w:tabs>
    </w:pPr>
  </w:style>
  <w:style w:type="paragraph" w:styleId="Footer">
    <w:name w:val="footer"/>
    <w:basedOn w:val="Normal"/>
    <w:rsid w:val="0050433C"/>
    <w:pPr>
      <w:tabs>
        <w:tab w:val="center" w:pos="4320"/>
        <w:tab w:val="right" w:pos="8640"/>
      </w:tabs>
    </w:pPr>
  </w:style>
  <w:style w:type="character" w:styleId="Hyperlink">
    <w:name w:val="Hyperlink"/>
    <w:basedOn w:val="DefaultParagraphFont"/>
    <w:uiPriority w:val="99"/>
    <w:rsid w:val="0050433C"/>
    <w:rPr>
      <w:color w:val="0000FF"/>
      <w:u w:val="single"/>
    </w:rPr>
  </w:style>
  <w:style w:type="character" w:styleId="Strong">
    <w:name w:val="Strong"/>
    <w:basedOn w:val="DefaultParagraphFont"/>
    <w:uiPriority w:val="22"/>
    <w:qFormat/>
    <w:rsid w:val="000C6AD9"/>
    <w:rPr>
      <w:b/>
      <w:bCs/>
    </w:rPr>
  </w:style>
  <w:style w:type="paragraph" w:customStyle="1" w:styleId="TitlePage">
    <w:name w:val="TitlePage"/>
    <w:basedOn w:val="Normal"/>
    <w:rsid w:val="00561A56"/>
    <w:pPr>
      <w:tabs>
        <w:tab w:val="left" w:pos="576"/>
      </w:tabs>
      <w:overflowPunct w:val="0"/>
      <w:autoSpaceDE w:val="0"/>
      <w:autoSpaceDN w:val="0"/>
      <w:adjustRightInd w:val="0"/>
      <w:spacing w:line="480" w:lineRule="atLeast"/>
      <w:jc w:val="center"/>
      <w:textAlignment w:val="baseline"/>
    </w:pPr>
    <w:rPr>
      <w:rFonts w:ascii="Courier New" w:hAnsi="Courier New"/>
      <w:szCs w:val="20"/>
    </w:rPr>
  </w:style>
  <w:style w:type="paragraph" w:customStyle="1" w:styleId="References">
    <w:name w:val="References"/>
    <w:basedOn w:val="Normal"/>
    <w:rsid w:val="00561A56"/>
    <w:pPr>
      <w:keepLines/>
      <w:widowControl w:val="0"/>
      <w:tabs>
        <w:tab w:val="left" w:pos="576"/>
      </w:tabs>
      <w:overflowPunct w:val="0"/>
      <w:autoSpaceDE w:val="0"/>
      <w:autoSpaceDN w:val="0"/>
      <w:adjustRightInd w:val="0"/>
      <w:spacing w:line="480" w:lineRule="atLeast"/>
      <w:ind w:left="720" w:hanging="720"/>
      <w:textAlignment w:val="baseline"/>
    </w:pPr>
    <w:rPr>
      <w:rFonts w:ascii="Courier New" w:hAnsi="Courier New"/>
      <w:szCs w:val="20"/>
    </w:rPr>
  </w:style>
  <w:style w:type="paragraph" w:styleId="BalloonText">
    <w:name w:val="Balloon Text"/>
    <w:basedOn w:val="Normal"/>
    <w:semiHidden/>
    <w:rsid w:val="00561A56"/>
    <w:rPr>
      <w:rFonts w:ascii="Tahoma" w:hAnsi="Tahoma" w:cs="Tahoma"/>
      <w:sz w:val="16"/>
      <w:szCs w:val="16"/>
    </w:rPr>
  </w:style>
  <w:style w:type="character" w:styleId="PageNumber">
    <w:name w:val="page number"/>
    <w:basedOn w:val="DefaultParagraphFont"/>
    <w:rsid w:val="00561A56"/>
  </w:style>
  <w:style w:type="paragraph" w:styleId="NormalWeb">
    <w:name w:val="Normal (Web)"/>
    <w:basedOn w:val="Normal"/>
    <w:uiPriority w:val="99"/>
    <w:unhideWhenUsed/>
    <w:rsid w:val="0070200D"/>
    <w:pPr>
      <w:spacing w:before="100" w:beforeAutospacing="1" w:after="100" w:afterAutospacing="1"/>
    </w:pPr>
  </w:style>
  <w:style w:type="character" w:customStyle="1" w:styleId="HeaderChar">
    <w:name w:val="Header Char"/>
    <w:basedOn w:val="DefaultParagraphFont"/>
    <w:link w:val="Header"/>
    <w:uiPriority w:val="99"/>
    <w:rsid w:val="00106FDE"/>
    <w:rPr>
      <w:sz w:val="24"/>
      <w:szCs w:val="24"/>
    </w:rPr>
  </w:style>
  <w:style w:type="character" w:styleId="Emphasis">
    <w:name w:val="Emphasis"/>
    <w:basedOn w:val="DefaultParagraphFont"/>
    <w:uiPriority w:val="20"/>
    <w:qFormat/>
    <w:rsid w:val="00A42F13"/>
    <w:rPr>
      <w:i/>
      <w:iCs/>
    </w:rPr>
  </w:style>
  <w:style w:type="character" w:customStyle="1" w:styleId="medium-normal">
    <w:name w:val="medium-normal"/>
    <w:basedOn w:val="DefaultParagraphFont"/>
    <w:rsid w:val="00A42F13"/>
  </w:style>
  <w:style w:type="character" w:styleId="PlaceholderText">
    <w:name w:val="Placeholder Text"/>
    <w:basedOn w:val="DefaultParagraphFont"/>
    <w:uiPriority w:val="99"/>
    <w:semiHidden/>
    <w:rsid w:val="0053493C"/>
    <w:rPr>
      <w:color w:val="808080"/>
    </w:rPr>
  </w:style>
  <w:style w:type="character" w:customStyle="1" w:styleId="Style1">
    <w:name w:val="Style1"/>
    <w:basedOn w:val="DefaultParagraphFont"/>
    <w:uiPriority w:val="1"/>
    <w:rsid w:val="00F96D5C"/>
  </w:style>
  <w:style w:type="character" w:styleId="FollowedHyperlink">
    <w:name w:val="FollowedHyperlink"/>
    <w:basedOn w:val="DefaultParagraphFont"/>
    <w:rsid w:val="00256256"/>
    <w:rPr>
      <w:color w:val="800080"/>
      <w:u w:val="single"/>
    </w:rPr>
  </w:style>
  <w:style w:type="paragraph" w:styleId="ListParagraph">
    <w:name w:val="List Paragraph"/>
    <w:basedOn w:val="Normal"/>
    <w:uiPriority w:val="34"/>
    <w:qFormat/>
    <w:rsid w:val="008026AA"/>
    <w:pPr>
      <w:ind w:left="720"/>
      <w:contextualSpacing/>
    </w:pPr>
  </w:style>
  <w:style w:type="paragraph" w:customStyle="1" w:styleId="text">
    <w:name w:val="text"/>
    <w:basedOn w:val="Normal"/>
    <w:rsid w:val="008D5C02"/>
    <w:pPr>
      <w:spacing w:before="100" w:beforeAutospacing="1" w:after="100" w:afterAutospacing="1"/>
    </w:pPr>
    <w:rPr>
      <w:rFonts w:ascii="Verdana" w:hAnsi="Verdana"/>
      <w:color w:val="000000"/>
    </w:rPr>
  </w:style>
  <w:style w:type="paragraph" w:customStyle="1" w:styleId="Blockquote">
    <w:name w:val="Blockquote"/>
    <w:basedOn w:val="Normal"/>
    <w:rsid w:val="00DD0C4D"/>
    <w:pPr>
      <w:spacing w:before="100" w:after="100"/>
      <w:ind w:left="360" w:right="360"/>
    </w:pPr>
    <w:rPr>
      <w:snapToGrid w:val="0"/>
      <w:szCs w:val="20"/>
    </w:rPr>
  </w:style>
  <w:style w:type="paragraph" w:styleId="BodyText">
    <w:name w:val="Body Text"/>
    <w:basedOn w:val="Normal"/>
    <w:link w:val="BodyTextChar"/>
    <w:rsid w:val="00DD0C4D"/>
    <w:pPr>
      <w:spacing w:after="120"/>
    </w:pPr>
    <w:rPr>
      <w:rFonts w:ascii="Book Antiqua" w:hAnsi="Book Antiqua"/>
    </w:rPr>
  </w:style>
  <w:style w:type="character" w:customStyle="1" w:styleId="BodyTextChar">
    <w:name w:val="Body Text Char"/>
    <w:basedOn w:val="DefaultParagraphFont"/>
    <w:link w:val="BodyText"/>
    <w:rsid w:val="00DD0C4D"/>
    <w:rPr>
      <w:rFonts w:ascii="Book Antiqua" w:hAnsi="Book Antiqua"/>
      <w:sz w:val="24"/>
      <w:szCs w:val="24"/>
    </w:rPr>
  </w:style>
  <w:style w:type="character" w:customStyle="1" w:styleId="Heading4Char">
    <w:name w:val="Heading 4 Char"/>
    <w:basedOn w:val="DefaultParagraphFont"/>
    <w:link w:val="Heading4"/>
    <w:semiHidden/>
    <w:rsid w:val="001377D4"/>
    <w:rPr>
      <w:rFonts w:asciiTheme="majorHAnsi" w:eastAsiaTheme="majorEastAsia" w:hAnsiTheme="majorHAnsi" w:cstheme="majorBidi"/>
      <w:b/>
      <w:bCs/>
      <w:i/>
      <w:iCs/>
      <w:color w:val="4F81BD" w:themeColor="accent1"/>
      <w:sz w:val="24"/>
      <w:szCs w:val="24"/>
    </w:rPr>
  </w:style>
  <w:style w:type="paragraph" w:customStyle="1" w:styleId="citation">
    <w:name w:val="citation"/>
    <w:basedOn w:val="Normal"/>
    <w:rsid w:val="001377D4"/>
    <w:pPr>
      <w:spacing w:before="100" w:beforeAutospacing="1" w:after="100" w:afterAutospacing="1"/>
    </w:pPr>
  </w:style>
  <w:style w:type="character" w:customStyle="1" w:styleId="Heading2Char">
    <w:name w:val="Heading 2 Char"/>
    <w:basedOn w:val="DefaultParagraphFont"/>
    <w:link w:val="Heading2"/>
    <w:semiHidden/>
    <w:rsid w:val="0040344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9C7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C743D"/>
    <w:rPr>
      <w:color w:val="605E5C"/>
      <w:shd w:val="clear" w:color="auto" w:fill="E1DFDD"/>
    </w:rPr>
  </w:style>
  <w:style w:type="character" w:styleId="SubtleEmphasis">
    <w:name w:val="Subtle Emphasis"/>
    <w:basedOn w:val="DefaultParagraphFont"/>
    <w:uiPriority w:val="19"/>
    <w:qFormat/>
    <w:rsid w:val="00D0108C"/>
    <w:rPr>
      <w:i/>
      <w:iCs/>
      <w:color w:val="404040" w:themeColor="text1" w:themeTint="BF"/>
    </w:rPr>
  </w:style>
  <w:style w:type="character" w:customStyle="1" w:styleId="Heading3Char">
    <w:name w:val="Heading 3 Char"/>
    <w:basedOn w:val="DefaultParagraphFont"/>
    <w:link w:val="Heading3"/>
    <w:semiHidden/>
    <w:rsid w:val="0026729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6807556">
      <w:bodyDiv w:val="1"/>
      <w:marLeft w:val="0"/>
      <w:marRight w:val="0"/>
      <w:marTop w:val="0"/>
      <w:marBottom w:val="0"/>
      <w:divBdr>
        <w:top w:val="none" w:sz="0" w:space="0" w:color="auto"/>
        <w:left w:val="none" w:sz="0" w:space="0" w:color="auto"/>
        <w:bottom w:val="none" w:sz="0" w:space="0" w:color="auto"/>
        <w:right w:val="none" w:sz="0" w:space="0" w:color="auto"/>
      </w:divBdr>
      <w:divsChild>
        <w:div w:id="2069301289">
          <w:marLeft w:val="270"/>
          <w:marRight w:val="0"/>
          <w:marTop w:val="0"/>
          <w:marBottom w:val="0"/>
          <w:divBdr>
            <w:top w:val="none" w:sz="0" w:space="0" w:color="auto"/>
            <w:left w:val="none" w:sz="0" w:space="0" w:color="auto"/>
            <w:bottom w:val="none" w:sz="0" w:space="0" w:color="auto"/>
            <w:right w:val="none" w:sz="0" w:space="0" w:color="auto"/>
          </w:divBdr>
        </w:div>
      </w:divsChild>
    </w:div>
    <w:div w:id="370737454">
      <w:bodyDiv w:val="1"/>
      <w:marLeft w:val="0"/>
      <w:marRight w:val="0"/>
      <w:marTop w:val="0"/>
      <w:marBottom w:val="0"/>
      <w:divBdr>
        <w:top w:val="none" w:sz="0" w:space="0" w:color="auto"/>
        <w:left w:val="none" w:sz="0" w:space="0" w:color="auto"/>
        <w:bottom w:val="none" w:sz="0" w:space="0" w:color="auto"/>
        <w:right w:val="none" w:sz="0" w:space="0" w:color="auto"/>
      </w:divBdr>
      <w:divsChild>
        <w:div w:id="880362866">
          <w:marLeft w:val="0"/>
          <w:marRight w:val="0"/>
          <w:marTop w:val="0"/>
          <w:marBottom w:val="0"/>
          <w:divBdr>
            <w:top w:val="none" w:sz="0" w:space="0" w:color="auto"/>
            <w:left w:val="none" w:sz="0" w:space="0" w:color="auto"/>
            <w:bottom w:val="none" w:sz="0" w:space="0" w:color="auto"/>
            <w:right w:val="none" w:sz="0" w:space="0" w:color="auto"/>
          </w:divBdr>
        </w:div>
        <w:div w:id="1029768546">
          <w:marLeft w:val="0"/>
          <w:marRight w:val="0"/>
          <w:marTop w:val="0"/>
          <w:marBottom w:val="0"/>
          <w:divBdr>
            <w:top w:val="none" w:sz="0" w:space="0" w:color="auto"/>
            <w:left w:val="none" w:sz="0" w:space="0" w:color="auto"/>
            <w:bottom w:val="none" w:sz="0" w:space="0" w:color="auto"/>
            <w:right w:val="none" w:sz="0" w:space="0" w:color="auto"/>
          </w:divBdr>
        </w:div>
      </w:divsChild>
    </w:div>
    <w:div w:id="386101333">
      <w:bodyDiv w:val="1"/>
      <w:marLeft w:val="0"/>
      <w:marRight w:val="0"/>
      <w:marTop w:val="0"/>
      <w:marBottom w:val="0"/>
      <w:divBdr>
        <w:top w:val="none" w:sz="0" w:space="0" w:color="auto"/>
        <w:left w:val="none" w:sz="0" w:space="0" w:color="auto"/>
        <w:bottom w:val="none" w:sz="0" w:space="0" w:color="auto"/>
        <w:right w:val="none" w:sz="0" w:space="0" w:color="auto"/>
      </w:divBdr>
    </w:div>
    <w:div w:id="423383619">
      <w:bodyDiv w:val="1"/>
      <w:marLeft w:val="0"/>
      <w:marRight w:val="0"/>
      <w:marTop w:val="0"/>
      <w:marBottom w:val="0"/>
      <w:divBdr>
        <w:top w:val="none" w:sz="0" w:space="0" w:color="auto"/>
        <w:left w:val="none" w:sz="0" w:space="0" w:color="auto"/>
        <w:bottom w:val="none" w:sz="0" w:space="0" w:color="auto"/>
        <w:right w:val="none" w:sz="0" w:space="0" w:color="auto"/>
      </w:divBdr>
    </w:div>
    <w:div w:id="448087587">
      <w:bodyDiv w:val="1"/>
      <w:marLeft w:val="0"/>
      <w:marRight w:val="0"/>
      <w:marTop w:val="0"/>
      <w:marBottom w:val="0"/>
      <w:divBdr>
        <w:top w:val="none" w:sz="0" w:space="0" w:color="auto"/>
        <w:left w:val="none" w:sz="0" w:space="0" w:color="auto"/>
        <w:bottom w:val="none" w:sz="0" w:space="0" w:color="auto"/>
        <w:right w:val="none" w:sz="0" w:space="0" w:color="auto"/>
      </w:divBdr>
    </w:div>
    <w:div w:id="742218196">
      <w:bodyDiv w:val="1"/>
      <w:marLeft w:val="0"/>
      <w:marRight w:val="0"/>
      <w:marTop w:val="0"/>
      <w:marBottom w:val="0"/>
      <w:divBdr>
        <w:top w:val="none" w:sz="0" w:space="0" w:color="auto"/>
        <w:left w:val="none" w:sz="0" w:space="0" w:color="auto"/>
        <w:bottom w:val="none" w:sz="0" w:space="0" w:color="auto"/>
        <w:right w:val="none" w:sz="0" w:space="0" w:color="auto"/>
      </w:divBdr>
    </w:div>
    <w:div w:id="752974292">
      <w:bodyDiv w:val="1"/>
      <w:marLeft w:val="0"/>
      <w:marRight w:val="0"/>
      <w:marTop w:val="0"/>
      <w:marBottom w:val="0"/>
      <w:divBdr>
        <w:top w:val="none" w:sz="0" w:space="0" w:color="auto"/>
        <w:left w:val="none" w:sz="0" w:space="0" w:color="auto"/>
        <w:bottom w:val="none" w:sz="0" w:space="0" w:color="auto"/>
        <w:right w:val="none" w:sz="0" w:space="0" w:color="auto"/>
      </w:divBdr>
      <w:divsChild>
        <w:div w:id="899823821">
          <w:marLeft w:val="270"/>
          <w:marRight w:val="0"/>
          <w:marTop w:val="0"/>
          <w:marBottom w:val="0"/>
          <w:divBdr>
            <w:top w:val="none" w:sz="0" w:space="0" w:color="auto"/>
            <w:left w:val="none" w:sz="0" w:space="0" w:color="auto"/>
            <w:bottom w:val="none" w:sz="0" w:space="0" w:color="auto"/>
            <w:right w:val="none" w:sz="0" w:space="0" w:color="auto"/>
          </w:divBdr>
        </w:div>
      </w:divsChild>
    </w:div>
    <w:div w:id="789593442">
      <w:bodyDiv w:val="1"/>
      <w:marLeft w:val="0"/>
      <w:marRight w:val="0"/>
      <w:marTop w:val="0"/>
      <w:marBottom w:val="0"/>
      <w:divBdr>
        <w:top w:val="none" w:sz="0" w:space="0" w:color="auto"/>
        <w:left w:val="none" w:sz="0" w:space="0" w:color="auto"/>
        <w:bottom w:val="none" w:sz="0" w:space="0" w:color="auto"/>
        <w:right w:val="none" w:sz="0" w:space="0" w:color="auto"/>
      </w:divBdr>
    </w:div>
    <w:div w:id="1383478237">
      <w:bodyDiv w:val="1"/>
      <w:marLeft w:val="0"/>
      <w:marRight w:val="0"/>
      <w:marTop w:val="0"/>
      <w:marBottom w:val="0"/>
      <w:divBdr>
        <w:top w:val="none" w:sz="0" w:space="0" w:color="auto"/>
        <w:left w:val="none" w:sz="0" w:space="0" w:color="auto"/>
        <w:bottom w:val="none" w:sz="0" w:space="0" w:color="auto"/>
        <w:right w:val="none" w:sz="0" w:space="0" w:color="auto"/>
      </w:divBdr>
      <w:divsChild>
        <w:div w:id="215552807">
          <w:marLeft w:val="0"/>
          <w:marRight w:val="0"/>
          <w:marTop w:val="0"/>
          <w:marBottom w:val="0"/>
          <w:divBdr>
            <w:top w:val="none" w:sz="0" w:space="0" w:color="auto"/>
            <w:left w:val="none" w:sz="0" w:space="0" w:color="auto"/>
            <w:bottom w:val="none" w:sz="0" w:space="0" w:color="auto"/>
            <w:right w:val="none" w:sz="0" w:space="0" w:color="auto"/>
          </w:divBdr>
        </w:div>
      </w:divsChild>
    </w:div>
    <w:div w:id="1497768246">
      <w:bodyDiv w:val="1"/>
      <w:marLeft w:val="0"/>
      <w:marRight w:val="0"/>
      <w:marTop w:val="0"/>
      <w:marBottom w:val="0"/>
      <w:divBdr>
        <w:top w:val="none" w:sz="0" w:space="0" w:color="auto"/>
        <w:left w:val="none" w:sz="0" w:space="0" w:color="auto"/>
        <w:bottom w:val="none" w:sz="0" w:space="0" w:color="auto"/>
        <w:right w:val="none" w:sz="0" w:space="0" w:color="auto"/>
      </w:divBdr>
      <w:divsChild>
        <w:div w:id="880675009">
          <w:marLeft w:val="0"/>
          <w:marRight w:val="0"/>
          <w:marTop w:val="0"/>
          <w:marBottom w:val="0"/>
          <w:divBdr>
            <w:top w:val="none" w:sz="0" w:space="0" w:color="auto"/>
            <w:left w:val="none" w:sz="0" w:space="0" w:color="auto"/>
            <w:bottom w:val="none" w:sz="0" w:space="0" w:color="auto"/>
            <w:right w:val="none" w:sz="0" w:space="0" w:color="auto"/>
          </w:divBdr>
          <w:divsChild>
            <w:div w:id="239676971">
              <w:marLeft w:val="0"/>
              <w:marRight w:val="0"/>
              <w:marTop w:val="0"/>
              <w:marBottom w:val="0"/>
              <w:divBdr>
                <w:top w:val="none" w:sz="0" w:space="0" w:color="auto"/>
                <w:left w:val="none" w:sz="0" w:space="0" w:color="auto"/>
                <w:bottom w:val="none" w:sz="0" w:space="0" w:color="auto"/>
                <w:right w:val="none" w:sz="0" w:space="0" w:color="auto"/>
              </w:divBdr>
              <w:divsChild>
                <w:div w:id="2031491194">
                  <w:marLeft w:val="0"/>
                  <w:marRight w:val="0"/>
                  <w:marTop w:val="0"/>
                  <w:marBottom w:val="0"/>
                  <w:divBdr>
                    <w:top w:val="none" w:sz="0" w:space="0" w:color="auto"/>
                    <w:left w:val="none" w:sz="0" w:space="0" w:color="auto"/>
                    <w:bottom w:val="none" w:sz="0" w:space="0" w:color="auto"/>
                    <w:right w:val="none" w:sz="0" w:space="0" w:color="auto"/>
                  </w:divBdr>
                  <w:divsChild>
                    <w:div w:id="23351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39509">
      <w:bodyDiv w:val="1"/>
      <w:marLeft w:val="0"/>
      <w:marRight w:val="0"/>
      <w:marTop w:val="0"/>
      <w:marBottom w:val="0"/>
      <w:divBdr>
        <w:top w:val="none" w:sz="0" w:space="0" w:color="auto"/>
        <w:left w:val="none" w:sz="0" w:space="0" w:color="auto"/>
        <w:bottom w:val="none" w:sz="0" w:space="0" w:color="auto"/>
        <w:right w:val="none" w:sz="0" w:space="0" w:color="auto"/>
      </w:divBdr>
    </w:div>
    <w:div w:id="1601140207">
      <w:bodyDiv w:val="1"/>
      <w:marLeft w:val="0"/>
      <w:marRight w:val="0"/>
      <w:marTop w:val="0"/>
      <w:marBottom w:val="0"/>
      <w:divBdr>
        <w:top w:val="none" w:sz="0" w:space="0" w:color="auto"/>
        <w:left w:val="none" w:sz="0" w:space="0" w:color="auto"/>
        <w:bottom w:val="none" w:sz="0" w:space="0" w:color="auto"/>
        <w:right w:val="none" w:sz="0" w:space="0" w:color="auto"/>
      </w:divBdr>
    </w:div>
    <w:div w:id="1604267136">
      <w:bodyDiv w:val="1"/>
      <w:marLeft w:val="0"/>
      <w:marRight w:val="0"/>
      <w:marTop w:val="0"/>
      <w:marBottom w:val="0"/>
      <w:divBdr>
        <w:top w:val="none" w:sz="0" w:space="0" w:color="auto"/>
        <w:left w:val="none" w:sz="0" w:space="0" w:color="auto"/>
        <w:bottom w:val="none" w:sz="0" w:space="0" w:color="auto"/>
        <w:right w:val="none" w:sz="0" w:space="0" w:color="auto"/>
      </w:divBdr>
      <w:divsChild>
        <w:div w:id="103620229">
          <w:marLeft w:val="0"/>
          <w:marRight w:val="0"/>
          <w:marTop w:val="0"/>
          <w:marBottom w:val="0"/>
          <w:divBdr>
            <w:top w:val="none" w:sz="0" w:space="0" w:color="auto"/>
            <w:left w:val="none" w:sz="0" w:space="0" w:color="auto"/>
            <w:bottom w:val="none" w:sz="0" w:space="0" w:color="auto"/>
            <w:right w:val="none" w:sz="0" w:space="0" w:color="auto"/>
          </w:divBdr>
        </w:div>
      </w:divsChild>
    </w:div>
    <w:div w:id="1818911426">
      <w:bodyDiv w:val="1"/>
      <w:marLeft w:val="0"/>
      <w:marRight w:val="0"/>
      <w:marTop w:val="0"/>
      <w:marBottom w:val="0"/>
      <w:divBdr>
        <w:top w:val="none" w:sz="0" w:space="0" w:color="auto"/>
        <w:left w:val="none" w:sz="0" w:space="0" w:color="auto"/>
        <w:bottom w:val="none" w:sz="0" w:space="0" w:color="auto"/>
        <w:right w:val="none" w:sz="0" w:space="0" w:color="auto"/>
      </w:divBdr>
      <w:divsChild>
        <w:div w:id="843858841">
          <w:marLeft w:val="0"/>
          <w:marRight w:val="0"/>
          <w:marTop w:val="0"/>
          <w:marBottom w:val="0"/>
          <w:divBdr>
            <w:top w:val="none" w:sz="0" w:space="0" w:color="auto"/>
            <w:left w:val="none" w:sz="0" w:space="0" w:color="auto"/>
            <w:bottom w:val="none" w:sz="0" w:space="0" w:color="auto"/>
            <w:right w:val="none" w:sz="0" w:space="0" w:color="auto"/>
          </w:divBdr>
          <w:divsChild>
            <w:div w:id="64187054">
              <w:marLeft w:val="0"/>
              <w:marRight w:val="0"/>
              <w:marTop w:val="0"/>
              <w:marBottom w:val="0"/>
              <w:divBdr>
                <w:top w:val="none" w:sz="0" w:space="0" w:color="auto"/>
                <w:left w:val="none" w:sz="0" w:space="0" w:color="auto"/>
                <w:bottom w:val="none" w:sz="0" w:space="0" w:color="auto"/>
                <w:right w:val="none" w:sz="0" w:space="0" w:color="auto"/>
              </w:divBdr>
            </w:div>
            <w:div w:id="291401831">
              <w:marLeft w:val="0"/>
              <w:marRight w:val="0"/>
              <w:marTop w:val="0"/>
              <w:marBottom w:val="0"/>
              <w:divBdr>
                <w:top w:val="none" w:sz="0" w:space="0" w:color="auto"/>
                <w:left w:val="none" w:sz="0" w:space="0" w:color="auto"/>
                <w:bottom w:val="none" w:sz="0" w:space="0" w:color="auto"/>
                <w:right w:val="none" w:sz="0" w:space="0" w:color="auto"/>
              </w:divBdr>
            </w:div>
            <w:div w:id="494303537">
              <w:marLeft w:val="0"/>
              <w:marRight w:val="0"/>
              <w:marTop w:val="0"/>
              <w:marBottom w:val="0"/>
              <w:divBdr>
                <w:top w:val="none" w:sz="0" w:space="0" w:color="auto"/>
                <w:left w:val="none" w:sz="0" w:space="0" w:color="auto"/>
                <w:bottom w:val="none" w:sz="0" w:space="0" w:color="auto"/>
                <w:right w:val="none" w:sz="0" w:space="0" w:color="auto"/>
              </w:divBdr>
            </w:div>
            <w:div w:id="687028462">
              <w:marLeft w:val="0"/>
              <w:marRight w:val="0"/>
              <w:marTop w:val="0"/>
              <w:marBottom w:val="0"/>
              <w:divBdr>
                <w:top w:val="none" w:sz="0" w:space="0" w:color="auto"/>
                <w:left w:val="none" w:sz="0" w:space="0" w:color="auto"/>
                <w:bottom w:val="none" w:sz="0" w:space="0" w:color="auto"/>
                <w:right w:val="none" w:sz="0" w:space="0" w:color="auto"/>
              </w:divBdr>
            </w:div>
            <w:div w:id="925117198">
              <w:marLeft w:val="0"/>
              <w:marRight w:val="0"/>
              <w:marTop w:val="0"/>
              <w:marBottom w:val="0"/>
              <w:divBdr>
                <w:top w:val="none" w:sz="0" w:space="0" w:color="auto"/>
                <w:left w:val="none" w:sz="0" w:space="0" w:color="auto"/>
                <w:bottom w:val="none" w:sz="0" w:space="0" w:color="auto"/>
                <w:right w:val="none" w:sz="0" w:space="0" w:color="auto"/>
              </w:divBdr>
            </w:div>
            <w:div w:id="1029725384">
              <w:marLeft w:val="0"/>
              <w:marRight w:val="0"/>
              <w:marTop w:val="0"/>
              <w:marBottom w:val="0"/>
              <w:divBdr>
                <w:top w:val="none" w:sz="0" w:space="0" w:color="auto"/>
                <w:left w:val="none" w:sz="0" w:space="0" w:color="auto"/>
                <w:bottom w:val="none" w:sz="0" w:space="0" w:color="auto"/>
                <w:right w:val="none" w:sz="0" w:space="0" w:color="auto"/>
              </w:divBdr>
            </w:div>
            <w:div w:id="1108432954">
              <w:marLeft w:val="0"/>
              <w:marRight w:val="0"/>
              <w:marTop w:val="0"/>
              <w:marBottom w:val="0"/>
              <w:divBdr>
                <w:top w:val="none" w:sz="0" w:space="0" w:color="auto"/>
                <w:left w:val="none" w:sz="0" w:space="0" w:color="auto"/>
                <w:bottom w:val="none" w:sz="0" w:space="0" w:color="auto"/>
                <w:right w:val="none" w:sz="0" w:space="0" w:color="auto"/>
              </w:divBdr>
            </w:div>
            <w:div w:id="1163668651">
              <w:marLeft w:val="0"/>
              <w:marRight w:val="0"/>
              <w:marTop w:val="0"/>
              <w:marBottom w:val="0"/>
              <w:divBdr>
                <w:top w:val="none" w:sz="0" w:space="0" w:color="auto"/>
                <w:left w:val="none" w:sz="0" w:space="0" w:color="auto"/>
                <w:bottom w:val="none" w:sz="0" w:space="0" w:color="auto"/>
                <w:right w:val="none" w:sz="0" w:space="0" w:color="auto"/>
              </w:divBdr>
            </w:div>
            <w:div w:id="1199122324">
              <w:marLeft w:val="0"/>
              <w:marRight w:val="0"/>
              <w:marTop w:val="0"/>
              <w:marBottom w:val="0"/>
              <w:divBdr>
                <w:top w:val="none" w:sz="0" w:space="0" w:color="auto"/>
                <w:left w:val="none" w:sz="0" w:space="0" w:color="auto"/>
                <w:bottom w:val="none" w:sz="0" w:space="0" w:color="auto"/>
                <w:right w:val="none" w:sz="0" w:space="0" w:color="auto"/>
              </w:divBdr>
            </w:div>
            <w:div w:id="1237087385">
              <w:marLeft w:val="0"/>
              <w:marRight w:val="0"/>
              <w:marTop w:val="0"/>
              <w:marBottom w:val="0"/>
              <w:divBdr>
                <w:top w:val="none" w:sz="0" w:space="0" w:color="auto"/>
                <w:left w:val="none" w:sz="0" w:space="0" w:color="auto"/>
                <w:bottom w:val="none" w:sz="0" w:space="0" w:color="auto"/>
                <w:right w:val="none" w:sz="0" w:space="0" w:color="auto"/>
              </w:divBdr>
            </w:div>
            <w:div w:id="1292590609">
              <w:marLeft w:val="0"/>
              <w:marRight w:val="0"/>
              <w:marTop w:val="0"/>
              <w:marBottom w:val="0"/>
              <w:divBdr>
                <w:top w:val="none" w:sz="0" w:space="0" w:color="auto"/>
                <w:left w:val="none" w:sz="0" w:space="0" w:color="auto"/>
                <w:bottom w:val="none" w:sz="0" w:space="0" w:color="auto"/>
                <w:right w:val="none" w:sz="0" w:space="0" w:color="auto"/>
              </w:divBdr>
            </w:div>
            <w:div w:id="1806895819">
              <w:marLeft w:val="0"/>
              <w:marRight w:val="0"/>
              <w:marTop w:val="0"/>
              <w:marBottom w:val="0"/>
              <w:divBdr>
                <w:top w:val="none" w:sz="0" w:space="0" w:color="auto"/>
                <w:left w:val="none" w:sz="0" w:space="0" w:color="auto"/>
                <w:bottom w:val="none" w:sz="0" w:space="0" w:color="auto"/>
                <w:right w:val="none" w:sz="0" w:space="0" w:color="auto"/>
              </w:divBdr>
            </w:div>
            <w:div w:id="207724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56474">
      <w:bodyDiv w:val="1"/>
      <w:marLeft w:val="0"/>
      <w:marRight w:val="0"/>
      <w:marTop w:val="0"/>
      <w:marBottom w:val="0"/>
      <w:divBdr>
        <w:top w:val="none" w:sz="0" w:space="0" w:color="auto"/>
        <w:left w:val="none" w:sz="0" w:space="0" w:color="auto"/>
        <w:bottom w:val="none" w:sz="0" w:space="0" w:color="auto"/>
        <w:right w:val="none" w:sz="0" w:space="0" w:color="auto"/>
      </w:divBdr>
      <w:divsChild>
        <w:div w:id="518809630">
          <w:marLeft w:val="0"/>
          <w:marRight w:val="0"/>
          <w:marTop w:val="0"/>
          <w:marBottom w:val="0"/>
          <w:divBdr>
            <w:top w:val="none" w:sz="0" w:space="0" w:color="auto"/>
            <w:left w:val="none" w:sz="0" w:space="0" w:color="auto"/>
            <w:bottom w:val="none" w:sz="0" w:space="0" w:color="auto"/>
            <w:right w:val="none" w:sz="0" w:space="0" w:color="auto"/>
          </w:divBdr>
        </w:div>
        <w:div w:id="2127846446">
          <w:marLeft w:val="0"/>
          <w:marRight w:val="0"/>
          <w:marTop w:val="0"/>
          <w:marBottom w:val="0"/>
          <w:divBdr>
            <w:top w:val="none" w:sz="0" w:space="0" w:color="auto"/>
            <w:left w:val="none" w:sz="0" w:space="0" w:color="auto"/>
            <w:bottom w:val="none" w:sz="0" w:space="0" w:color="auto"/>
            <w:right w:val="none" w:sz="0" w:space="0" w:color="auto"/>
          </w:divBdr>
        </w:div>
      </w:divsChild>
    </w:div>
    <w:div w:id="1891839567">
      <w:bodyDiv w:val="1"/>
      <w:marLeft w:val="0"/>
      <w:marRight w:val="0"/>
      <w:marTop w:val="0"/>
      <w:marBottom w:val="0"/>
      <w:divBdr>
        <w:top w:val="none" w:sz="0" w:space="0" w:color="auto"/>
        <w:left w:val="none" w:sz="0" w:space="0" w:color="auto"/>
        <w:bottom w:val="none" w:sz="0" w:space="0" w:color="auto"/>
        <w:right w:val="none" w:sz="0" w:space="0" w:color="auto"/>
      </w:divBdr>
    </w:div>
    <w:div w:id="1928923627">
      <w:bodyDiv w:val="1"/>
      <w:marLeft w:val="0"/>
      <w:marRight w:val="0"/>
      <w:marTop w:val="0"/>
      <w:marBottom w:val="0"/>
      <w:divBdr>
        <w:top w:val="none" w:sz="0" w:space="0" w:color="auto"/>
        <w:left w:val="none" w:sz="0" w:space="0" w:color="auto"/>
        <w:bottom w:val="none" w:sz="0" w:space="0" w:color="auto"/>
        <w:right w:val="none" w:sz="0" w:space="0" w:color="auto"/>
      </w:divBdr>
    </w:div>
    <w:div w:id="1998613196">
      <w:bodyDiv w:val="1"/>
      <w:marLeft w:val="0"/>
      <w:marRight w:val="0"/>
      <w:marTop w:val="0"/>
      <w:marBottom w:val="0"/>
      <w:divBdr>
        <w:top w:val="none" w:sz="0" w:space="0" w:color="auto"/>
        <w:left w:val="none" w:sz="0" w:space="0" w:color="auto"/>
        <w:bottom w:val="none" w:sz="0" w:space="0" w:color="auto"/>
        <w:right w:val="none" w:sz="0" w:space="0" w:color="auto"/>
      </w:divBdr>
      <w:divsChild>
        <w:div w:id="840436897">
          <w:marLeft w:val="0"/>
          <w:marRight w:val="0"/>
          <w:marTop w:val="0"/>
          <w:marBottom w:val="0"/>
          <w:divBdr>
            <w:top w:val="none" w:sz="0" w:space="0" w:color="auto"/>
            <w:left w:val="none" w:sz="0" w:space="0" w:color="auto"/>
            <w:bottom w:val="none" w:sz="0" w:space="0" w:color="auto"/>
            <w:right w:val="none" w:sz="0" w:space="0" w:color="auto"/>
          </w:divBdr>
          <w:divsChild>
            <w:div w:id="66850938">
              <w:marLeft w:val="0"/>
              <w:marRight w:val="0"/>
              <w:marTop w:val="0"/>
              <w:marBottom w:val="0"/>
              <w:divBdr>
                <w:top w:val="none" w:sz="0" w:space="0" w:color="auto"/>
                <w:left w:val="none" w:sz="0" w:space="0" w:color="auto"/>
                <w:bottom w:val="none" w:sz="0" w:space="0" w:color="auto"/>
                <w:right w:val="none" w:sz="0" w:space="0" w:color="auto"/>
              </w:divBdr>
              <w:divsChild>
                <w:div w:id="63308612">
                  <w:marLeft w:val="0"/>
                  <w:marRight w:val="0"/>
                  <w:marTop w:val="0"/>
                  <w:marBottom w:val="0"/>
                  <w:divBdr>
                    <w:top w:val="none" w:sz="0" w:space="0" w:color="auto"/>
                    <w:left w:val="none" w:sz="0" w:space="0" w:color="auto"/>
                    <w:bottom w:val="none" w:sz="0" w:space="0" w:color="auto"/>
                    <w:right w:val="none" w:sz="0" w:space="0" w:color="auto"/>
                  </w:divBdr>
                </w:div>
                <w:div w:id="507600893">
                  <w:marLeft w:val="0"/>
                  <w:marRight w:val="0"/>
                  <w:marTop w:val="0"/>
                  <w:marBottom w:val="0"/>
                  <w:divBdr>
                    <w:top w:val="none" w:sz="0" w:space="0" w:color="auto"/>
                    <w:left w:val="none" w:sz="0" w:space="0" w:color="auto"/>
                    <w:bottom w:val="none" w:sz="0" w:space="0" w:color="auto"/>
                    <w:right w:val="none" w:sz="0" w:space="0" w:color="auto"/>
                  </w:divBdr>
                </w:div>
                <w:div w:id="676425165">
                  <w:marLeft w:val="0"/>
                  <w:marRight w:val="0"/>
                  <w:marTop w:val="0"/>
                  <w:marBottom w:val="0"/>
                  <w:divBdr>
                    <w:top w:val="none" w:sz="0" w:space="0" w:color="auto"/>
                    <w:left w:val="none" w:sz="0" w:space="0" w:color="auto"/>
                    <w:bottom w:val="none" w:sz="0" w:space="0" w:color="auto"/>
                    <w:right w:val="none" w:sz="0" w:space="0" w:color="auto"/>
                  </w:divBdr>
                </w:div>
                <w:div w:id="980883284">
                  <w:marLeft w:val="0"/>
                  <w:marRight w:val="0"/>
                  <w:marTop w:val="0"/>
                  <w:marBottom w:val="0"/>
                  <w:divBdr>
                    <w:top w:val="none" w:sz="0" w:space="0" w:color="auto"/>
                    <w:left w:val="none" w:sz="0" w:space="0" w:color="auto"/>
                    <w:bottom w:val="none" w:sz="0" w:space="0" w:color="auto"/>
                    <w:right w:val="none" w:sz="0" w:space="0" w:color="auto"/>
                  </w:divBdr>
                </w:div>
                <w:div w:id="1039889539">
                  <w:marLeft w:val="0"/>
                  <w:marRight w:val="0"/>
                  <w:marTop w:val="0"/>
                  <w:marBottom w:val="0"/>
                  <w:divBdr>
                    <w:top w:val="none" w:sz="0" w:space="0" w:color="auto"/>
                    <w:left w:val="none" w:sz="0" w:space="0" w:color="auto"/>
                    <w:bottom w:val="none" w:sz="0" w:space="0" w:color="auto"/>
                    <w:right w:val="none" w:sz="0" w:space="0" w:color="auto"/>
                  </w:divBdr>
                </w:div>
                <w:div w:id="1294368215">
                  <w:marLeft w:val="0"/>
                  <w:marRight w:val="0"/>
                  <w:marTop w:val="0"/>
                  <w:marBottom w:val="0"/>
                  <w:divBdr>
                    <w:top w:val="none" w:sz="0" w:space="0" w:color="auto"/>
                    <w:left w:val="none" w:sz="0" w:space="0" w:color="auto"/>
                    <w:bottom w:val="none" w:sz="0" w:space="0" w:color="auto"/>
                    <w:right w:val="none" w:sz="0" w:space="0" w:color="auto"/>
                  </w:divBdr>
                </w:div>
                <w:div w:id="1297224433">
                  <w:marLeft w:val="0"/>
                  <w:marRight w:val="0"/>
                  <w:marTop w:val="0"/>
                  <w:marBottom w:val="0"/>
                  <w:divBdr>
                    <w:top w:val="none" w:sz="0" w:space="0" w:color="auto"/>
                    <w:left w:val="none" w:sz="0" w:space="0" w:color="auto"/>
                    <w:bottom w:val="none" w:sz="0" w:space="0" w:color="auto"/>
                    <w:right w:val="none" w:sz="0" w:space="0" w:color="auto"/>
                  </w:divBdr>
                </w:div>
                <w:div w:id="1459177339">
                  <w:marLeft w:val="0"/>
                  <w:marRight w:val="0"/>
                  <w:marTop w:val="0"/>
                  <w:marBottom w:val="0"/>
                  <w:divBdr>
                    <w:top w:val="none" w:sz="0" w:space="0" w:color="auto"/>
                    <w:left w:val="none" w:sz="0" w:space="0" w:color="auto"/>
                    <w:bottom w:val="none" w:sz="0" w:space="0" w:color="auto"/>
                    <w:right w:val="none" w:sz="0" w:space="0" w:color="auto"/>
                  </w:divBdr>
                </w:div>
                <w:div w:id="1633903714">
                  <w:marLeft w:val="0"/>
                  <w:marRight w:val="0"/>
                  <w:marTop w:val="0"/>
                  <w:marBottom w:val="0"/>
                  <w:divBdr>
                    <w:top w:val="none" w:sz="0" w:space="0" w:color="auto"/>
                    <w:left w:val="none" w:sz="0" w:space="0" w:color="auto"/>
                    <w:bottom w:val="none" w:sz="0" w:space="0" w:color="auto"/>
                    <w:right w:val="none" w:sz="0" w:space="0" w:color="auto"/>
                  </w:divBdr>
                </w:div>
                <w:div w:id="1900825596">
                  <w:marLeft w:val="0"/>
                  <w:marRight w:val="0"/>
                  <w:marTop w:val="0"/>
                  <w:marBottom w:val="0"/>
                  <w:divBdr>
                    <w:top w:val="none" w:sz="0" w:space="0" w:color="auto"/>
                    <w:left w:val="none" w:sz="0" w:space="0" w:color="auto"/>
                    <w:bottom w:val="none" w:sz="0" w:space="0" w:color="auto"/>
                    <w:right w:val="none" w:sz="0" w:space="0" w:color="auto"/>
                  </w:divBdr>
                </w:div>
              </w:divsChild>
            </w:div>
            <w:div w:id="405878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chart" Target="charts/chart6.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HT\Downloads\BUS520%20Data%20and%20Scenario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Gender</a:t>
            </a:r>
          </a:p>
        </c:rich>
      </c:tx>
      <c:layout>
        <c:manualLayout>
          <c:xMode val="edge"/>
          <c:yMode val="edge"/>
          <c:x val="0.46930555555555553"/>
          <c:y val="2.7777777777777776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10MAR25FT'!$M$6</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10MAR25FT'!$K$7:$L$8</c:f>
              <c:multiLvlStrCache>
                <c:ptCount val="2"/>
                <c:lvl>
                  <c:pt idx="0">
                    <c:v>Male</c:v>
                  </c:pt>
                  <c:pt idx="1">
                    <c:v>Female</c:v>
                  </c:pt>
                </c:lvl>
                <c:lvl>
                  <c:pt idx="0">
                    <c:v>1</c:v>
                  </c:pt>
                  <c:pt idx="1">
                    <c:v>2</c:v>
                  </c:pt>
                </c:lvl>
              </c:multiLvlStrCache>
            </c:multiLvlStrRef>
          </c:cat>
          <c:val>
            <c:numRef>
              <c:f>'SURVEY BUS520 10MAR25FT'!$M$7:$M$8</c:f>
              <c:numCache>
                <c:formatCode>0</c:formatCode>
                <c:ptCount val="2"/>
                <c:pt idx="0">
                  <c:v>133</c:v>
                </c:pt>
                <c:pt idx="1">
                  <c:v>133</c:v>
                </c:pt>
              </c:numCache>
            </c:numRef>
          </c:val>
          <c:extLst>
            <c:ext xmlns:c16="http://schemas.microsoft.com/office/drawing/2014/chart" uri="{C3380CC4-5D6E-409C-BE32-E72D297353CC}">
              <c16:uniqueId val="{00000000-01F1-4CC4-B9C6-8E68F68C26DD}"/>
            </c:ext>
          </c:extLst>
        </c:ser>
        <c:dLbls>
          <c:dLblPos val="outEnd"/>
          <c:showLegendKey val="0"/>
          <c:showVal val="1"/>
          <c:showCatName val="0"/>
          <c:showSerName val="0"/>
          <c:showPercent val="0"/>
          <c:showBubbleSize val="0"/>
        </c:dLbls>
        <c:gapWidth val="219"/>
        <c:overlap val="-27"/>
        <c:axId val="146684687"/>
        <c:axId val="146682767"/>
      </c:barChart>
      <c:catAx>
        <c:axId val="14668468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82767"/>
        <c:crosses val="autoZero"/>
        <c:auto val="1"/>
        <c:lblAlgn val="ctr"/>
        <c:lblOffset val="100"/>
        <c:noMultiLvlLbl val="0"/>
      </c:catAx>
      <c:valAx>
        <c:axId val="14668276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8468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Age </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10MAR25FT'!$M$9</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10MAR25FT'!$K$10:$L$12</c:f>
              <c:multiLvlStrCache>
                <c:ptCount val="3"/>
                <c:lvl>
                  <c:pt idx="0">
                    <c:v>16 - 21</c:v>
                  </c:pt>
                  <c:pt idx="1">
                    <c:v>22 - 49</c:v>
                  </c:pt>
                  <c:pt idx="2">
                    <c:v>50 - 65</c:v>
                  </c:pt>
                </c:lvl>
                <c:lvl>
                  <c:pt idx="0">
                    <c:v>1</c:v>
                  </c:pt>
                  <c:pt idx="1">
                    <c:v>2</c:v>
                  </c:pt>
                  <c:pt idx="2">
                    <c:v>3</c:v>
                  </c:pt>
                </c:lvl>
              </c:multiLvlStrCache>
            </c:multiLvlStrRef>
          </c:cat>
          <c:val>
            <c:numRef>
              <c:f>'SURVEY BUS520 10MAR25FT'!$M$10:$M$12</c:f>
              <c:numCache>
                <c:formatCode>0</c:formatCode>
                <c:ptCount val="3"/>
                <c:pt idx="0">
                  <c:v>104</c:v>
                </c:pt>
                <c:pt idx="1">
                  <c:v>48</c:v>
                </c:pt>
                <c:pt idx="2">
                  <c:v>114</c:v>
                </c:pt>
              </c:numCache>
            </c:numRef>
          </c:val>
          <c:extLst>
            <c:ext xmlns:c16="http://schemas.microsoft.com/office/drawing/2014/chart" uri="{C3380CC4-5D6E-409C-BE32-E72D297353CC}">
              <c16:uniqueId val="{00000000-2462-4756-8199-74FD62818445}"/>
            </c:ext>
          </c:extLst>
        </c:ser>
        <c:dLbls>
          <c:dLblPos val="outEnd"/>
          <c:showLegendKey val="0"/>
          <c:showVal val="1"/>
          <c:showCatName val="0"/>
          <c:showSerName val="0"/>
          <c:showPercent val="0"/>
          <c:showBubbleSize val="0"/>
        </c:dLbls>
        <c:gapWidth val="219"/>
        <c:overlap val="-27"/>
        <c:axId val="146689967"/>
        <c:axId val="146709647"/>
      </c:barChart>
      <c:catAx>
        <c:axId val="14668996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09647"/>
        <c:crosses val="autoZero"/>
        <c:auto val="1"/>
        <c:lblAlgn val="ctr"/>
        <c:lblOffset val="100"/>
        <c:noMultiLvlLbl val="0"/>
      </c:catAx>
      <c:valAx>
        <c:axId val="14670964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68996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Departement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10MAR25FT'!$M$13</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10MAR25FT'!$K$14:$L$16</c:f>
              <c:multiLvlStrCache>
                <c:ptCount val="3"/>
                <c:lvl>
                  <c:pt idx="0">
                    <c:v>Front-Line Worker</c:v>
                  </c:pt>
                  <c:pt idx="1">
                    <c:v>Supervisor</c:v>
                  </c:pt>
                  <c:pt idx="2">
                    <c:v>Management</c:v>
                  </c:pt>
                </c:lvl>
                <c:lvl>
                  <c:pt idx="0">
                    <c:v>1</c:v>
                  </c:pt>
                  <c:pt idx="1">
                    <c:v>2</c:v>
                  </c:pt>
                  <c:pt idx="2">
                    <c:v>3</c:v>
                  </c:pt>
                </c:lvl>
              </c:multiLvlStrCache>
            </c:multiLvlStrRef>
          </c:cat>
          <c:val>
            <c:numRef>
              <c:f>'SURVEY BUS520 10MAR25FT'!$M$14:$M$16</c:f>
              <c:numCache>
                <c:formatCode>0</c:formatCode>
                <c:ptCount val="3"/>
                <c:pt idx="0">
                  <c:v>95</c:v>
                </c:pt>
                <c:pt idx="1">
                  <c:v>142</c:v>
                </c:pt>
                <c:pt idx="2">
                  <c:v>29</c:v>
                </c:pt>
              </c:numCache>
            </c:numRef>
          </c:val>
          <c:extLst>
            <c:ext xmlns:c16="http://schemas.microsoft.com/office/drawing/2014/chart" uri="{C3380CC4-5D6E-409C-BE32-E72D297353CC}">
              <c16:uniqueId val="{00000000-7830-40EA-BEC2-1C8DC84DCE04}"/>
            </c:ext>
          </c:extLst>
        </c:ser>
        <c:dLbls>
          <c:dLblPos val="outEnd"/>
          <c:showLegendKey val="0"/>
          <c:showVal val="1"/>
          <c:showCatName val="0"/>
          <c:showSerName val="0"/>
          <c:showPercent val="0"/>
          <c:showBubbleSize val="0"/>
        </c:dLbls>
        <c:gapWidth val="219"/>
        <c:overlap val="-27"/>
        <c:axId val="450300463"/>
        <c:axId val="450300943"/>
      </c:barChart>
      <c:catAx>
        <c:axId val="45030046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300943"/>
        <c:crosses val="autoZero"/>
        <c:auto val="1"/>
        <c:lblAlgn val="ctr"/>
        <c:lblOffset val="100"/>
        <c:noMultiLvlLbl val="0"/>
      </c:catAx>
      <c:valAx>
        <c:axId val="450300943"/>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300463"/>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Position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10MAR25FT'!$M$17</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10MAR25FT'!$K$18:$L$20</c:f>
              <c:multiLvlStrCache>
                <c:ptCount val="3"/>
                <c:lvl>
                  <c:pt idx="0">
                    <c:v>Hourly Employee Part-time</c:v>
                  </c:pt>
                  <c:pt idx="1">
                    <c:v>Hourly Employee Full-time</c:v>
                  </c:pt>
                  <c:pt idx="2">
                    <c:v>Salaried Employee</c:v>
                  </c:pt>
                </c:lvl>
                <c:lvl>
                  <c:pt idx="0">
                    <c:v>1</c:v>
                  </c:pt>
                  <c:pt idx="1">
                    <c:v>2</c:v>
                  </c:pt>
                  <c:pt idx="2">
                    <c:v>3</c:v>
                  </c:pt>
                </c:lvl>
              </c:multiLvlStrCache>
            </c:multiLvlStrRef>
          </c:cat>
          <c:val>
            <c:numRef>
              <c:f>'SURVEY BUS520 10MAR25FT'!$M$18:$M$20</c:f>
              <c:numCache>
                <c:formatCode>0</c:formatCode>
                <c:ptCount val="3"/>
                <c:pt idx="0">
                  <c:v>156</c:v>
                </c:pt>
                <c:pt idx="1">
                  <c:v>95</c:v>
                </c:pt>
                <c:pt idx="2">
                  <c:v>15</c:v>
                </c:pt>
              </c:numCache>
            </c:numRef>
          </c:val>
          <c:extLst>
            <c:ext xmlns:c16="http://schemas.microsoft.com/office/drawing/2014/chart" uri="{C3380CC4-5D6E-409C-BE32-E72D297353CC}">
              <c16:uniqueId val="{00000000-F4BB-46CB-91D9-7DD58F454B76}"/>
            </c:ext>
          </c:extLst>
        </c:ser>
        <c:dLbls>
          <c:dLblPos val="outEnd"/>
          <c:showLegendKey val="0"/>
          <c:showVal val="1"/>
          <c:showCatName val="0"/>
          <c:showSerName val="0"/>
          <c:showPercent val="0"/>
          <c:showBubbleSize val="0"/>
        </c:dLbls>
        <c:gapWidth val="219"/>
        <c:overlap val="-27"/>
        <c:axId val="446291199"/>
        <c:axId val="446290239"/>
      </c:barChart>
      <c:catAx>
        <c:axId val="4462911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290239"/>
        <c:crosses val="autoZero"/>
        <c:auto val="1"/>
        <c:lblAlgn val="ctr"/>
        <c:lblOffset val="100"/>
        <c:noMultiLvlLbl val="0"/>
      </c:catAx>
      <c:valAx>
        <c:axId val="44629023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4629119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Tenure with company</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'SURVEY BUS520 10MAR25FT'!$M$21</c:f>
              <c:strCache>
                <c:ptCount val="1"/>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multiLvlStrRef>
              <c:f>'SURVEY BUS520 10MAR25FT'!$K$22:$L$24</c:f>
              <c:multiLvlStrCache>
                <c:ptCount val="3"/>
                <c:lvl>
                  <c:pt idx="0">
                    <c:v>Less than 2 years</c:v>
                  </c:pt>
                  <c:pt idx="1">
                    <c:v>2 to 5 years</c:v>
                  </c:pt>
                  <c:pt idx="2">
                    <c:v>Over 5 Years</c:v>
                  </c:pt>
                </c:lvl>
                <c:lvl>
                  <c:pt idx="0">
                    <c:v>1</c:v>
                  </c:pt>
                  <c:pt idx="1">
                    <c:v>2</c:v>
                  </c:pt>
                  <c:pt idx="2">
                    <c:v>3</c:v>
                  </c:pt>
                </c:lvl>
              </c:multiLvlStrCache>
            </c:multiLvlStrRef>
          </c:cat>
          <c:val>
            <c:numRef>
              <c:f>'SURVEY BUS520 10MAR25FT'!$M$22:$M$24</c:f>
              <c:numCache>
                <c:formatCode>0</c:formatCode>
                <c:ptCount val="3"/>
                <c:pt idx="0">
                  <c:v>133</c:v>
                </c:pt>
                <c:pt idx="1">
                  <c:v>74</c:v>
                </c:pt>
                <c:pt idx="2">
                  <c:v>59</c:v>
                </c:pt>
              </c:numCache>
            </c:numRef>
          </c:val>
          <c:extLst>
            <c:ext xmlns:c16="http://schemas.microsoft.com/office/drawing/2014/chart" uri="{C3380CC4-5D6E-409C-BE32-E72D297353CC}">
              <c16:uniqueId val="{00000000-D46B-41CF-8A03-C65E88DA0E9D}"/>
            </c:ext>
          </c:extLst>
        </c:ser>
        <c:dLbls>
          <c:dLblPos val="outEnd"/>
          <c:showLegendKey val="0"/>
          <c:showVal val="1"/>
          <c:showCatName val="0"/>
          <c:showSerName val="0"/>
          <c:showPercent val="0"/>
          <c:showBubbleSize val="0"/>
        </c:dLbls>
        <c:gapWidth val="219"/>
        <c:overlap val="-27"/>
        <c:axId val="450691855"/>
        <c:axId val="450692815"/>
      </c:barChart>
      <c:catAx>
        <c:axId val="45069185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692815"/>
        <c:crosses val="autoZero"/>
        <c:auto val="1"/>
        <c:lblAlgn val="ctr"/>
        <c:lblOffset val="100"/>
        <c:noMultiLvlLbl val="0"/>
      </c:catAx>
      <c:valAx>
        <c:axId val="450692815"/>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50691855"/>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pivotSource>
    <c:name>[BUS520 Data and Scenarios.xlsx]Sheet2!PivotTable2</c:name>
    <c:fmtId val="-1"/>
  </c:pivotSource>
  <c:chart>
    <c:autoTitleDeleted val="0"/>
    <c:pivotFmts>
      <c:pivotFmt>
        <c:idx val="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8"/>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9"/>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0"/>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1"/>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2"/>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17"/>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Sheet2!$A$1</c:f>
              <c:strCache>
                <c:ptCount val="1"/>
                <c:pt idx="0">
                  <c:v>Sum of Intrinsic</c:v>
                </c:pt>
              </c:strCache>
            </c:strRef>
          </c:tx>
          <c:spPr>
            <a:solidFill>
              <a:schemeClr val="accent1"/>
            </a:solidFill>
            <a:ln>
              <a:noFill/>
            </a:ln>
            <a:effectLst/>
          </c:spPr>
          <c:invertIfNegative val="0"/>
          <c:cat>
            <c:strRef>
              <c:f>Sheet2!$A$2</c:f>
              <c:strCache>
                <c:ptCount val="1"/>
                <c:pt idx="0">
                  <c:v>Total</c:v>
                </c:pt>
              </c:strCache>
            </c:strRef>
          </c:cat>
          <c:val>
            <c:numRef>
              <c:f>Sheet2!$A$2</c:f>
              <c:numCache>
                <c:formatCode>General</c:formatCode>
                <c:ptCount val="1"/>
                <c:pt idx="0">
                  <c:v>1176.3000000000002</c:v>
                </c:pt>
              </c:numCache>
            </c:numRef>
          </c:val>
          <c:extLst>
            <c:ext xmlns:c16="http://schemas.microsoft.com/office/drawing/2014/chart" uri="{C3380CC4-5D6E-409C-BE32-E72D297353CC}">
              <c16:uniqueId val="{00000000-A2FD-487F-9AED-996D772C636A}"/>
            </c:ext>
          </c:extLst>
        </c:ser>
        <c:ser>
          <c:idx val="1"/>
          <c:order val="1"/>
          <c:tx>
            <c:strRef>
              <c:f>Sheet2!$B$1</c:f>
              <c:strCache>
                <c:ptCount val="1"/>
                <c:pt idx="0">
                  <c:v>Sum of Extrinsic</c:v>
                </c:pt>
              </c:strCache>
            </c:strRef>
          </c:tx>
          <c:spPr>
            <a:solidFill>
              <a:schemeClr val="accent2"/>
            </a:solidFill>
            <a:ln>
              <a:noFill/>
            </a:ln>
            <a:effectLst/>
          </c:spPr>
          <c:invertIfNegative val="0"/>
          <c:cat>
            <c:strRef>
              <c:f>Sheet2!$A$2</c:f>
              <c:strCache>
                <c:ptCount val="1"/>
                <c:pt idx="0">
                  <c:v>Total</c:v>
                </c:pt>
              </c:strCache>
            </c:strRef>
          </c:cat>
          <c:val>
            <c:numRef>
              <c:f>Sheet2!$B$2</c:f>
              <c:numCache>
                <c:formatCode>General</c:formatCode>
                <c:ptCount val="1"/>
                <c:pt idx="0">
                  <c:v>1088.9000000000008</c:v>
                </c:pt>
              </c:numCache>
            </c:numRef>
          </c:val>
          <c:extLst>
            <c:ext xmlns:c16="http://schemas.microsoft.com/office/drawing/2014/chart" uri="{C3380CC4-5D6E-409C-BE32-E72D297353CC}">
              <c16:uniqueId val="{00000001-A2FD-487F-9AED-996D772C636A}"/>
            </c:ext>
          </c:extLst>
        </c:ser>
        <c:ser>
          <c:idx val="2"/>
          <c:order val="2"/>
          <c:tx>
            <c:strRef>
              <c:f>Sheet2!$C$1</c:f>
              <c:strCache>
                <c:ptCount val="1"/>
                <c:pt idx="0">
                  <c:v>Sum of Job Satisfaction</c:v>
                </c:pt>
              </c:strCache>
            </c:strRef>
          </c:tx>
          <c:spPr>
            <a:solidFill>
              <a:schemeClr val="accent3"/>
            </a:solidFill>
            <a:ln>
              <a:noFill/>
            </a:ln>
            <a:effectLst/>
          </c:spPr>
          <c:invertIfNegative val="0"/>
          <c:cat>
            <c:strRef>
              <c:f>Sheet2!$A$2</c:f>
              <c:strCache>
                <c:ptCount val="1"/>
                <c:pt idx="0">
                  <c:v>Total</c:v>
                </c:pt>
              </c:strCache>
            </c:strRef>
          </c:cat>
          <c:val>
            <c:numRef>
              <c:f>Sheet2!$C$2</c:f>
              <c:numCache>
                <c:formatCode>General</c:formatCode>
                <c:ptCount val="1"/>
                <c:pt idx="0">
                  <c:v>972.70000000000016</c:v>
                </c:pt>
              </c:numCache>
            </c:numRef>
          </c:val>
          <c:extLst>
            <c:ext xmlns:c16="http://schemas.microsoft.com/office/drawing/2014/chart" uri="{C3380CC4-5D6E-409C-BE32-E72D297353CC}">
              <c16:uniqueId val="{00000002-A2FD-487F-9AED-996D772C636A}"/>
            </c:ext>
          </c:extLst>
        </c:ser>
        <c:ser>
          <c:idx val="3"/>
          <c:order val="3"/>
          <c:tx>
            <c:strRef>
              <c:f>Sheet2!$D$1</c:f>
              <c:strCache>
                <c:ptCount val="1"/>
                <c:pt idx="0">
                  <c:v>Sum of Commitment</c:v>
                </c:pt>
              </c:strCache>
            </c:strRef>
          </c:tx>
          <c:spPr>
            <a:solidFill>
              <a:schemeClr val="accent4"/>
            </a:solidFill>
            <a:ln>
              <a:noFill/>
            </a:ln>
            <a:effectLst/>
          </c:spPr>
          <c:invertIfNegative val="0"/>
          <c:cat>
            <c:strRef>
              <c:f>Sheet2!$A$2</c:f>
              <c:strCache>
                <c:ptCount val="1"/>
                <c:pt idx="0">
                  <c:v>Total</c:v>
                </c:pt>
              </c:strCache>
            </c:strRef>
          </c:cat>
          <c:val>
            <c:numRef>
              <c:f>Sheet2!$D$2</c:f>
              <c:numCache>
                <c:formatCode>General</c:formatCode>
                <c:ptCount val="1"/>
                <c:pt idx="0">
                  <c:v>1274.2999999999993</c:v>
                </c:pt>
              </c:numCache>
            </c:numRef>
          </c:val>
          <c:extLst>
            <c:ext xmlns:c16="http://schemas.microsoft.com/office/drawing/2014/chart" uri="{C3380CC4-5D6E-409C-BE32-E72D297353CC}">
              <c16:uniqueId val="{00000003-A2FD-487F-9AED-996D772C636A}"/>
            </c:ext>
          </c:extLst>
        </c:ser>
        <c:dLbls>
          <c:showLegendKey val="0"/>
          <c:showVal val="0"/>
          <c:showCatName val="0"/>
          <c:showSerName val="0"/>
          <c:showPercent val="0"/>
          <c:showBubbleSize val="0"/>
        </c:dLbls>
        <c:gapWidth val="219"/>
        <c:overlap val="-27"/>
        <c:axId val="1658267471"/>
        <c:axId val="1658268431"/>
      </c:barChart>
      <c:catAx>
        <c:axId val="165826747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8268431"/>
        <c:crosses val="autoZero"/>
        <c:auto val="1"/>
        <c:lblAlgn val="ctr"/>
        <c:lblOffset val="100"/>
        <c:noMultiLvlLbl val="0"/>
      </c:catAx>
      <c:valAx>
        <c:axId val="165826843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58267471"/>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11</Pages>
  <Words>1632</Words>
  <Characters>9309</Characters>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2021-05-03T19:18:00Z</dcterms:created>
  <dcterms:modified xsi:type="dcterms:W3CDTF">2025-03-19T23:26:00Z</dcterms:modified>
</cp:coreProperties>
</file>