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7DCD" w14:textId="77777777" w:rsidR="00F468D1" w:rsidRPr="00B224B6" w:rsidRDefault="00F468D1" w:rsidP="00EE7D6E">
      <w:pPr>
        <w:spacing w:line="480" w:lineRule="auto"/>
        <w:ind w:firstLine="720"/>
        <w:jc w:val="center"/>
        <w:rPr>
          <w:b/>
          <w:bCs/>
        </w:rPr>
      </w:pPr>
    </w:p>
    <w:p w14:paraId="09AA434B" w14:textId="77777777" w:rsidR="00F468D1" w:rsidRPr="00B224B6" w:rsidRDefault="00F468D1" w:rsidP="00EE7D6E">
      <w:pPr>
        <w:spacing w:line="480" w:lineRule="auto"/>
        <w:ind w:firstLine="720"/>
        <w:jc w:val="center"/>
        <w:rPr>
          <w:b/>
          <w:bCs/>
        </w:rPr>
      </w:pPr>
    </w:p>
    <w:p w14:paraId="466FA396" w14:textId="77777777" w:rsidR="00F468D1" w:rsidRPr="00B224B6" w:rsidRDefault="00F468D1" w:rsidP="00EE7D6E">
      <w:pPr>
        <w:spacing w:line="480" w:lineRule="auto"/>
        <w:ind w:firstLine="720"/>
        <w:jc w:val="center"/>
        <w:rPr>
          <w:b/>
          <w:bCs/>
        </w:rPr>
      </w:pPr>
    </w:p>
    <w:p w14:paraId="0D8CF4B9" w14:textId="77777777" w:rsidR="00F468D1" w:rsidRPr="00B224B6" w:rsidRDefault="00F468D1" w:rsidP="00EE7D6E">
      <w:pPr>
        <w:spacing w:line="480" w:lineRule="auto"/>
        <w:ind w:firstLine="720"/>
        <w:jc w:val="center"/>
        <w:rPr>
          <w:b/>
          <w:bCs/>
        </w:rPr>
      </w:pPr>
    </w:p>
    <w:p w14:paraId="253C824D" w14:textId="47F07DEC" w:rsidR="00286395" w:rsidRPr="00B224B6" w:rsidRDefault="00F378C4" w:rsidP="00EE7D6E">
      <w:pPr>
        <w:spacing w:line="480" w:lineRule="auto"/>
        <w:jc w:val="center"/>
        <w:rPr>
          <w:b/>
          <w:bCs/>
        </w:rPr>
      </w:pPr>
      <w:r>
        <w:rPr>
          <w:b/>
          <w:bCs/>
        </w:rPr>
        <w:t>BUS</w:t>
      </w:r>
      <w:r w:rsidR="002C7462">
        <w:rPr>
          <w:b/>
          <w:bCs/>
        </w:rPr>
        <w:t>5</w:t>
      </w:r>
      <w:r w:rsidR="00B7451A">
        <w:rPr>
          <w:b/>
          <w:bCs/>
        </w:rPr>
        <w:t>20</w:t>
      </w:r>
      <w:r w:rsidR="003C7F15">
        <w:rPr>
          <w:b/>
          <w:bCs/>
        </w:rPr>
        <w:t xml:space="preserve"> </w:t>
      </w:r>
      <w:r w:rsidR="00B7451A">
        <w:rPr>
          <w:b/>
          <w:bCs/>
        </w:rPr>
        <w:t>SLP</w:t>
      </w:r>
      <w:r w:rsidR="006624AB">
        <w:rPr>
          <w:b/>
          <w:bCs/>
        </w:rPr>
        <w:t xml:space="preserve"> </w:t>
      </w:r>
      <w:r w:rsidR="00EE4654">
        <w:rPr>
          <w:b/>
          <w:bCs/>
        </w:rPr>
        <w:t>4</w:t>
      </w:r>
    </w:p>
    <w:p w14:paraId="215330E4" w14:textId="77777777" w:rsidR="00286395" w:rsidRPr="00B224B6" w:rsidRDefault="00286395" w:rsidP="00EE7D6E">
      <w:pPr>
        <w:spacing w:line="480" w:lineRule="auto"/>
        <w:ind w:firstLine="720"/>
        <w:jc w:val="center"/>
      </w:pPr>
    </w:p>
    <w:p w14:paraId="0C9670E1" w14:textId="77777777" w:rsidR="00454CAF" w:rsidRDefault="00454CAF" w:rsidP="00EE7D6E">
      <w:pPr>
        <w:spacing w:line="480" w:lineRule="auto"/>
        <w:jc w:val="center"/>
      </w:pPr>
      <w:r>
        <w:t>Your Name</w:t>
      </w:r>
    </w:p>
    <w:p w14:paraId="02750D95" w14:textId="77777777" w:rsidR="00454CAF" w:rsidRDefault="00454CAF" w:rsidP="00EE7D6E">
      <w:pPr>
        <w:spacing w:line="480" w:lineRule="auto"/>
        <w:jc w:val="center"/>
      </w:pPr>
      <w:r>
        <w:t xml:space="preserve">Trident University International </w:t>
      </w:r>
    </w:p>
    <w:p w14:paraId="3002A249" w14:textId="77777777" w:rsidR="002C7462" w:rsidRDefault="002C7462" w:rsidP="00EE7D6E">
      <w:pPr>
        <w:spacing w:line="480" w:lineRule="auto"/>
        <w:jc w:val="center"/>
      </w:pPr>
      <w:r w:rsidRPr="002C7462">
        <w:t>BUS520 Business Analytics and Decision Making</w:t>
      </w:r>
    </w:p>
    <w:p w14:paraId="54C389E1" w14:textId="7A086B20" w:rsidR="00844EE7" w:rsidRPr="00B224B6" w:rsidRDefault="00454CAF" w:rsidP="00EE7D6E">
      <w:pPr>
        <w:spacing w:line="480" w:lineRule="auto"/>
        <w:jc w:val="center"/>
      </w:pPr>
      <w:r>
        <w:t>Due Date</w:t>
      </w:r>
    </w:p>
    <w:p w14:paraId="6C8D5EF8" w14:textId="56D46919" w:rsidR="003C7F15" w:rsidRPr="00B224B6" w:rsidRDefault="00352E8D" w:rsidP="00EE7D6E">
      <w:pPr>
        <w:spacing w:line="480" w:lineRule="auto"/>
        <w:jc w:val="center"/>
        <w:rPr>
          <w:b/>
          <w:bCs/>
        </w:rPr>
      </w:pPr>
      <w:r w:rsidRPr="00B224B6">
        <w:br w:type="page"/>
      </w:r>
    </w:p>
    <w:p w14:paraId="1DF862F2" w14:textId="379CEBED" w:rsidR="00D200BF" w:rsidRDefault="00F378C4" w:rsidP="00EE7D6E">
      <w:pPr>
        <w:spacing w:line="480" w:lineRule="auto"/>
        <w:jc w:val="center"/>
        <w:rPr>
          <w:b/>
          <w:bCs/>
        </w:rPr>
      </w:pPr>
      <w:r>
        <w:rPr>
          <w:b/>
          <w:bCs/>
        </w:rPr>
        <w:lastRenderedPageBreak/>
        <w:t>BUS</w:t>
      </w:r>
      <w:r w:rsidR="002C7462">
        <w:rPr>
          <w:b/>
          <w:bCs/>
        </w:rPr>
        <w:t>520</w:t>
      </w:r>
      <w:r w:rsidR="003C7F15">
        <w:rPr>
          <w:b/>
          <w:bCs/>
        </w:rPr>
        <w:t xml:space="preserve"> </w:t>
      </w:r>
      <w:r w:rsidR="00B7451A">
        <w:rPr>
          <w:b/>
          <w:bCs/>
        </w:rPr>
        <w:t>SLP</w:t>
      </w:r>
      <w:r w:rsidR="006624AB">
        <w:rPr>
          <w:b/>
          <w:bCs/>
        </w:rPr>
        <w:t xml:space="preserve"> </w:t>
      </w:r>
      <w:r w:rsidR="00EE4654">
        <w:rPr>
          <w:b/>
          <w:bCs/>
        </w:rPr>
        <w:t>4 Executive Summary</w:t>
      </w:r>
    </w:p>
    <w:p w14:paraId="43B2D83D" w14:textId="792568A9" w:rsidR="00EE7D6E" w:rsidRPr="00EE7D6E" w:rsidRDefault="00EE7D6E" w:rsidP="00EE7D6E">
      <w:pPr>
        <w:spacing w:line="480" w:lineRule="auto"/>
      </w:pPr>
      <w:r w:rsidRPr="00EE7D6E">
        <w:tab/>
      </w:r>
      <w:r w:rsidRPr="00EE7D6E">
        <w:t xml:space="preserve">The analysis tends to be related with the job satisfaction and its key determinants, including intrinsic and extrinsic motivation, as well as commitment such as the data is sourced from a survey administered in a business context, aiming to evaluate how different factors such as employee tenure, gender, and department affiliation influence job satisfaction (Deci, E. L., &amp; Ryan, R. M., 2021). According to the dataset, it </w:t>
      </w:r>
      <w:r w:rsidR="00A709C1" w:rsidRPr="00EE7D6E">
        <w:t>comprises</w:t>
      </w:r>
      <w:r w:rsidRPr="00EE7D6E">
        <w:t xml:space="preserve"> of mode for key variables, offering a comprehensive view of the central tendencies and variations in job satisfaction, intrinsic and extrinsic motivations, and commitment levels. However, it also includes </w:t>
      </w:r>
      <w:r w:rsidR="00A709C1" w:rsidRPr="00EE7D6E">
        <w:t>survey</w:t>
      </w:r>
      <w:r w:rsidRPr="00EE7D6E">
        <w:t xml:space="preserve"> responses, categorizing employees by demographic variables such as gender, age, department, position, and tenure, and capturing their self-reported levels of job satisfaction, intrinsic and extrinsic motivation, and commitment (Herzberg, F., 2022).</w:t>
      </w:r>
    </w:p>
    <w:p w14:paraId="7A46F8A1" w14:textId="3F1E6301" w:rsidR="00EE7D6E" w:rsidRPr="00B224B6" w:rsidRDefault="00EE7D6E" w:rsidP="00EE7D6E">
      <w:pPr>
        <w:spacing w:line="480" w:lineRule="auto"/>
        <w:rPr>
          <w:b/>
          <w:bCs/>
        </w:rPr>
      </w:pPr>
    </w:p>
    <w:p w14:paraId="0CC407BF" w14:textId="3074AF44" w:rsidR="00454CAF" w:rsidRPr="00454CAF" w:rsidRDefault="00202586" w:rsidP="00EE7D6E">
      <w:pPr>
        <w:spacing w:line="480" w:lineRule="auto"/>
        <w:jc w:val="center"/>
        <w:rPr>
          <w:rFonts w:eastAsia="Calibri"/>
          <w:b/>
          <w:bCs/>
        </w:rPr>
      </w:pPr>
      <w:r w:rsidRPr="00202586">
        <w:rPr>
          <w:rFonts w:eastAsia="Calibri"/>
          <w:b/>
          <w:bCs/>
        </w:rPr>
        <w:t>PA-726465</w:t>
      </w:r>
    </w:p>
    <w:p w14:paraId="20B0DC5B" w14:textId="77777777" w:rsidR="00AD1EE7" w:rsidRDefault="00AD1EE7" w:rsidP="00EE7D6E">
      <w:pPr>
        <w:pStyle w:val="Blockquote"/>
        <w:spacing w:before="0" w:after="0" w:line="480" w:lineRule="auto"/>
        <w:ind w:left="0" w:right="0" w:firstLine="720"/>
        <w:rPr>
          <w:rFonts w:eastAsia="Calibri"/>
        </w:rPr>
      </w:pPr>
      <w:r w:rsidRPr="0006395D">
        <w:rPr>
          <w:rFonts w:eastAsia="Calibri"/>
        </w:rPr>
        <w:t xml:space="preserve">The section analyses the descriptives statistics for each of the four </w:t>
      </w:r>
      <w:r>
        <w:rPr>
          <w:rFonts w:eastAsia="Calibri"/>
        </w:rPr>
        <w:t>s</w:t>
      </w:r>
      <w:r w:rsidRPr="0006395D">
        <w:rPr>
          <w:rFonts w:eastAsia="Calibri"/>
        </w:rPr>
        <w:t xml:space="preserve">urvey </w:t>
      </w:r>
      <w:r>
        <w:rPr>
          <w:rFonts w:eastAsia="Calibri"/>
        </w:rPr>
        <w:t>m</w:t>
      </w:r>
      <w:r w:rsidRPr="0006395D">
        <w:rPr>
          <w:rFonts w:eastAsia="Calibri"/>
        </w:rPr>
        <w:t>easures</w:t>
      </w:r>
      <w:r>
        <w:rPr>
          <w:rFonts w:eastAsia="Calibri"/>
        </w:rPr>
        <w:t xml:space="preserve"> which includes job</w:t>
      </w:r>
      <w:r w:rsidRPr="0006395D">
        <w:rPr>
          <w:rFonts w:eastAsia="Calibri"/>
        </w:rPr>
        <w:t xml:space="preserve"> </w:t>
      </w:r>
      <w:r>
        <w:rPr>
          <w:rFonts w:eastAsia="Calibri"/>
        </w:rPr>
        <w:t>s</w:t>
      </w:r>
      <w:r w:rsidRPr="0006395D">
        <w:rPr>
          <w:rFonts w:eastAsia="Calibri"/>
        </w:rPr>
        <w:t xml:space="preserve">atisfaction, </w:t>
      </w:r>
      <w:r>
        <w:rPr>
          <w:rFonts w:eastAsia="Calibri"/>
        </w:rPr>
        <w:t>i</w:t>
      </w:r>
      <w:r w:rsidRPr="0006395D">
        <w:rPr>
          <w:rFonts w:eastAsia="Calibri"/>
        </w:rPr>
        <w:t xml:space="preserve">ntrinsic </w:t>
      </w:r>
      <w:r>
        <w:rPr>
          <w:rFonts w:eastAsia="Calibri"/>
        </w:rPr>
        <w:t>j</w:t>
      </w:r>
      <w:r w:rsidRPr="0006395D">
        <w:rPr>
          <w:rFonts w:eastAsia="Calibri"/>
        </w:rPr>
        <w:t xml:space="preserve">ob </w:t>
      </w:r>
      <w:r>
        <w:rPr>
          <w:rFonts w:eastAsia="Calibri"/>
        </w:rPr>
        <w:t>s</w:t>
      </w:r>
      <w:r w:rsidRPr="0006395D">
        <w:rPr>
          <w:rFonts w:eastAsia="Calibri"/>
        </w:rPr>
        <w:t xml:space="preserve">atisfaction, </w:t>
      </w:r>
      <w:r>
        <w:rPr>
          <w:rFonts w:eastAsia="Calibri"/>
        </w:rPr>
        <w:t>e</w:t>
      </w:r>
      <w:r w:rsidRPr="0006395D">
        <w:rPr>
          <w:rFonts w:eastAsia="Calibri"/>
        </w:rPr>
        <w:t xml:space="preserve">xtrinsic </w:t>
      </w:r>
      <w:r>
        <w:rPr>
          <w:rFonts w:eastAsia="Calibri"/>
        </w:rPr>
        <w:t>j</w:t>
      </w:r>
      <w:r w:rsidRPr="0006395D">
        <w:rPr>
          <w:rFonts w:eastAsia="Calibri"/>
        </w:rPr>
        <w:t xml:space="preserve">ob </w:t>
      </w:r>
      <w:r>
        <w:rPr>
          <w:rFonts w:eastAsia="Calibri"/>
        </w:rPr>
        <w:t>s</w:t>
      </w:r>
      <w:r w:rsidRPr="0006395D">
        <w:rPr>
          <w:rFonts w:eastAsia="Calibri"/>
        </w:rPr>
        <w:t xml:space="preserve">atisfaction and </w:t>
      </w:r>
      <w:r>
        <w:rPr>
          <w:rFonts w:eastAsia="Calibri"/>
        </w:rPr>
        <w:t>o</w:t>
      </w:r>
      <w:r w:rsidRPr="0006395D">
        <w:rPr>
          <w:rFonts w:eastAsia="Calibri"/>
        </w:rPr>
        <w:t xml:space="preserve">rganizational </w:t>
      </w:r>
      <w:r>
        <w:rPr>
          <w:rFonts w:eastAsia="Calibri"/>
        </w:rPr>
        <w:t>c</w:t>
      </w:r>
      <w:r w:rsidRPr="0006395D">
        <w:rPr>
          <w:rFonts w:eastAsia="Calibri"/>
        </w:rPr>
        <w:t xml:space="preserve">ommitment. </w:t>
      </w:r>
    </w:p>
    <w:tbl>
      <w:tblPr>
        <w:tblW w:w="5000" w:type="pct"/>
        <w:tblLook w:val="04A0" w:firstRow="1" w:lastRow="0" w:firstColumn="1" w:lastColumn="0" w:noHBand="0" w:noVBand="1"/>
      </w:tblPr>
      <w:tblGrid>
        <w:gridCol w:w="2418"/>
        <w:gridCol w:w="1973"/>
        <w:gridCol w:w="1706"/>
        <w:gridCol w:w="1706"/>
        <w:gridCol w:w="1773"/>
      </w:tblGrid>
      <w:tr w:rsidR="00AD1EE7" w14:paraId="273AAFA7" w14:textId="77777777" w:rsidTr="00774C6E">
        <w:trPr>
          <w:trHeight w:val="255"/>
        </w:trPr>
        <w:tc>
          <w:tcPr>
            <w:tcW w:w="12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242AF"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Factors</w:t>
            </w:r>
          </w:p>
        </w:tc>
        <w:tc>
          <w:tcPr>
            <w:tcW w:w="1030" w:type="pct"/>
            <w:tcBorders>
              <w:top w:val="single" w:sz="4" w:space="0" w:color="auto"/>
              <w:left w:val="nil"/>
              <w:bottom w:val="single" w:sz="4" w:space="0" w:color="auto"/>
              <w:right w:val="single" w:sz="4" w:space="0" w:color="auto"/>
            </w:tcBorders>
            <w:shd w:val="clear" w:color="auto" w:fill="auto"/>
            <w:noWrap/>
            <w:vAlign w:val="bottom"/>
            <w:hideMark/>
          </w:tcPr>
          <w:p w14:paraId="3DC5132F" w14:textId="77777777" w:rsidR="00AD1EE7" w:rsidRDefault="00AD1EE7" w:rsidP="00EE7D6E">
            <w:pPr>
              <w:spacing w:line="480" w:lineRule="auto"/>
              <w:jc w:val="center"/>
              <w:rPr>
                <w:rFonts w:ascii="Arial" w:hAnsi="Arial" w:cs="Arial"/>
                <w:b/>
                <w:bCs/>
                <w:i/>
                <w:iCs/>
                <w:sz w:val="20"/>
                <w:szCs w:val="20"/>
              </w:rPr>
            </w:pPr>
            <w:r>
              <w:rPr>
                <w:rFonts w:ascii="Arial" w:hAnsi="Arial" w:cs="Arial"/>
                <w:b/>
                <w:bCs/>
                <w:i/>
                <w:iCs/>
                <w:sz w:val="20"/>
                <w:szCs w:val="20"/>
              </w:rPr>
              <w:t>Job Satisfaction</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14:paraId="4C7DC339" w14:textId="77777777" w:rsidR="00AD1EE7" w:rsidRDefault="00AD1EE7" w:rsidP="00EE7D6E">
            <w:pPr>
              <w:spacing w:line="480" w:lineRule="auto"/>
              <w:jc w:val="center"/>
              <w:rPr>
                <w:rFonts w:ascii="Arial" w:hAnsi="Arial" w:cs="Arial"/>
                <w:b/>
                <w:bCs/>
                <w:i/>
                <w:iCs/>
                <w:sz w:val="20"/>
                <w:szCs w:val="20"/>
              </w:rPr>
            </w:pPr>
            <w:r>
              <w:rPr>
                <w:rFonts w:ascii="Arial" w:hAnsi="Arial" w:cs="Arial"/>
                <w:b/>
                <w:bCs/>
                <w:i/>
                <w:iCs/>
                <w:sz w:val="20"/>
                <w:szCs w:val="20"/>
              </w:rPr>
              <w:t>Intrinsic</w:t>
            </w:r>
          </w:p>
        </w:tc>
        <w:tc>
          <w:tcPr>
            <w:tcW w:w="891" w:type="pct"/>
            <w:tcBorders>
              <w:top w:val="single" w:sz="4" w:space="0" w:color="auto"/>
              <w:left w:val="nil"/>
              <w:bottom w:val="single" w:sz="4" w:space="0" w:color="auto"/>
              <w:right w:val="single" w:sz="4" w:space="0" w:color="auto"/>
            </w:tcBorders>
            <w:shd w:val="clear" w:color="auto" w:fill="auto"/>
            <w:noWrap/>
            <w:vAlign w:val="bottom"/>
            <w:hideMark/>
          </w:tcPr>
          <w:p w14:paraId="0FB730AF" w14:textId="77777777" w:rsidR="00AD1EE7" w:rsidRDefault="00AD1EE7" w:rsidP="00EE7D6E">
            <w:pPr>
              <w:spacing w:line="480" w:lineRule="auto"/>
              <w:jc w:val="center"/>
              <w:rPr>
                <w:rFonts w:ascii="Arial" w:hAnsi="Arial" w:cs="Arial"/>
                <w:b/>
                <w:bCs/>
                <w:i/>
                <w:iCs/>
                <w:sz w:val="20"/>
                <w:szCs w:val="20"/>
              </w:rPr>
            </w:pPr>
            <w:r>
              <w:rPr>
                <w:rFonts w:ascii="Arial" w:hAnsi="Arial" w:cs="Arial"/>
                <w:b/>
                <w:bCs/>
                <w:i/>
                <w:iCs/>
                <w:sz w:val="20"/>
                <w:szCs w:val="20"/>
              </w:rPr>
              <w:t>Extrinsic</w:t>
            </w:r>
          </w:p>
        </w:tc>
        <w:tc>
          <w:tcPr>
            <w:tcW w:w="926" w:type="pct"/>
            <w:tcBorders>
              <w:top w:val="single" w:sz="4" w:space="0" w:color="auto"/>
              <w:left w:val="nil"/>
              <w:bottom w:val="single" w:sz="4" w:space="0" w:color="auto"/>
              <w:right w:val="single" w:sz="4" w:space="0" w:color="auto"/>
            </w:tcBorders>
            <w:shd w:val="clear" w:color="auto" w:fill="auto"/>
            <w:noWrap/>
            <w:vAlign w:val="bottom"/>
            <w:hideMark/>
          </w:tcPr>
          <w:p w14:paraId="01D36E4A" w14:textId="77777777" w:rsidR="00AD1EE7" w:rsidRDefault="00AD1EE7" w:rsidP="00EE7D6E">
            <w:pPr>
              <w:spacing w:line="480" w:lineRule="auto"/>
              <w:jc w:val="center"/>
              <w:rPr>
                <w:rFonts w:ascii="Arial" w:hAnsi="Arial" w:cs="Arial"/>
                <w:b/>
                <w:bCs/>
                <w:i/>
                <w:iCs/>
                <w:sz w:val="20"/>
                <w:szCs w:val="20"/>
              </w:rPr>
            </w:pPr>
            <w:r>
              <w:rPr>
                <w:rFonts w:ascii="Arial" w:hAnsi="Arial" w:cs="Arial"/>
                <w:b/>
                <w:bCs/>
                <w:i/>
                <w:iCs/>
                <w:sz w:val="20"/>
                <w:szCs w:val="20"/>
              </w:rPr>
              <w:t>Commitment</w:t>
            </w:r>
          </w:p>
        </w:tc>
      </w:tr>
      <w:tr w:rsidR="00AD1EE7" w14:paraId="38758374"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117157F0" w14:textId="77777777" w:rsidR="00AD1EE7" w:rsidRDefault="00AD1EE7" w:rsidP="00EE7D6E">
            <w:pPr>
              <w:spacing w:line="480" w:lineRule="auto"/>
              <w:rPr>
                <w:rFonts w:ascii="Arial" w:hAnsi="Arial" w:cs="Arial"/>
                <w:sz w:val="20"/>
                <w:szCs w:val="20"/>
              </w:rPr>
            </w:pPr>
            <w:r>
              <w:rPr>
                <w:rFonts w:ascii="Arial" w:hAnsi="Arial" w:cs="Arial"/>
                <w:sz w:val="20"/>
                <w:szCs w:val="20"/>
              </w:rPr>
              <w:t> </w:t>
            </w:r>
          </w:p>
        </w:tc>
        <w:tc>
          <w:tcPr>
            <w:tcW w:w="1030" w:type="pct"/>
            <w:tcBorders>
              <w:top w:val="nil"/>
              <w:left w:val="nil"/>
              <w:bottom w:val="single" w:sz="4" w:space="0" w:color="auto"/>
              <w:right w:val="single" w:sz="4" w:space="0" w:color="auto"/>
            </w:tcBorders>
            <w:shd w:val="clear" w:color="auto" w:fill="auto"/>
            <w:noWrap/>
            <w:vAlign w:val="bottom"/>
            <w:hideMark/>
          </w:tcPr>
          <w:p w14:paraId="44475A7E" w14:textId="77777777" w:rsidR="00AD1EE7" w:rsidRDefault="00AD1EE7" w:rsidP="00EE7D6E">
            <w:pPr>
              <w:spacing w:line="480" w:lineRule="auto"/>
              <w:rPr>
                <w:rFonts w:ascii="Arial" w:hAnsi="Arial" w:cs="Arial"/>
                <w:sz w:val="20"/>
                <w:szCs w:val="20"/>
              </w:rPr>
            </w:pPr>
            <w:r>
              <w:rPr>
                <w:rFonts w:ascii="Arial" w:hAnsi="Arial" w:cs="Arial"/>
                <w:sz w:val="20"/>
                <w:szCs w:val="20"/>
              </w:rPr>
              <w:t> </w:t>
            </w:r>
          </w:p>
        </w:tc>
        <w:tc>
          <w:tcPr>
            <w:tcW w:w="891" w:type="pct"/>
            <w:tcBorders>
              <w:top w:val="nil"/>
              <w:left w:val="nil"/>
              <w:bottom w:val="single" w:sz="4" w:space="0" w:color="auto"/>
              <w:right w:val="single" w:sz="4" w:space="0" w:color="auto"/>
            </w:tcBorders>
            <w:shd w:val="clear" w:color="auto" w:fill="auto"/>
            <w:noWrap/>
            <w:vAlign w:val="bottom"/>
            <w:hideMark/>
          </w:tcPr>
          <w:p w14:paraId="0067787B" w14:textId="77777777" w:rsidR="00AD1EE7" w:rsidRDefault="00AD1EE7" w:rsidP="00EE7D6E">
            <w:pPr>
              <w:spacing w:line="480" w:lineRule="auto"/>
              <w:rPr>
                <w:rFonts w:ascii="Arial" w:hAnsi="Arial" w:cs="Arial"/>
                <w:sz w:val="20"/>
                <w:szCs w:val="20"/>
              </w:rPr>
            </w:pPr>
            <w:r>
              <w:rPr>
                <w:rFonts w:ascii="Arial" w:hAnsi="Arial" w:cs="Arial"/>
                <w:sz w:val="20"/>
                <w:szCs w:val="20"/>
              </w:rPr>
              <w:t> </w:t>
            </w:r>
          </w:p>
        </w:tc>
        <w:tc>
          <w:tcPr>
            <w:tcW w:w="891" w:type="pct"/>
            <w:tcBorders>
              <w:top w:val="nil"/>
              <w:left w:val="nil"/>
              <w:bottom w:val="single" w:sz="4" w:space="0" w:color="auto"/>
              <w:right w:val="single" w:sz="4" w:space="0" w:color="auto"/>
            </w:tcBorders>
            <w:shd w:val="clear" w:color="auto" w:fill="auto"/>
            <w:noWrap/>
            <w:vAlign w:val="bottom"/>
            <w:hideMark/>
          </w:tcPr>
          <w:p w14:paraId="1C85BEF5" w14:textId="77777777" w:rsidR="00AD1EE7" w:rsidRDefault="00AD1EE7" w:rsidP="00EE7D6E">
            <w:pPr>
              <w:spacing w:line="480" w:lineRule="auto"/>
              <w:rPr>
                <w:rFonts w:ascii="Arial" w:hAnsi="Arial" w:cs="Arial"/>
                <w:sz w:val="20"/>
                <w:szCs w:val="20"/>
              </w:rPr>
            </w:pPr>
            <w:r>
              <w:rPr>
                <w:rFonts w:ascii="Arial" w:hAnsi="Arial" w:cs="Arial"/>
                <w:sz w:val="20"/>
                <w:szCs w:val="20"/>
              </w:rPr>
              <w:t> </w:t>
            </w:r>
          </w:p>
        </w:tc>
        <w:tc>
          <w:tcPr>
            <w:tcW w:w="926" w:type="pct"/>
            <w:tcBorders>
              <w:top w:val="nil"/>
              <w:left w:val="nil"/>
              <w:bottom w:val="single" w:sz="4" w:space="0" w:color="auto"/>
              <w:right w:val="single" w:sz="4" w:space="0" w:color="auto"/>
            </w:tcBorders>
            <w:shd w:val="clear" w:color="auto" w:fill="auto"/>
            <w:noWrap/>
            <w:vAlign w:val="bottom"/>
            <w:hideMark/>
          </w:tcPr>
          <w:p w14:paraId="51FB804A" w14:textId="77777777" w:rsidR="00AD1EE7" w:rsidRDefault="00AD1EE7" w:rsidP="00EE7D6E">
            <w:pPr>
              <w:spacing w:line="480" w:lineRule="auto"/>
              <w:rPr>
                <w:rFonts w:ascii="Arial" w:hAnsi="Arial" w:cs="Arial"/>
                <w:sz w:val="20"/>
                <w:szCs w:val="20"/>
              </w:rPr>
            </w:pPr>
            <w:r>
              <w:rPr>
                <w:rFonts w:ascii="Arial" w:hAnsi="Arial" w:cs="Arial"/>
                <w:sz w:val="20"/>
                <w:szCs w:val="20"/>
              </w:rPr>
              <w:t> </w:t>
            </w:r>
          </w:p>
        </w:tc>
      </w:tr>
      <w:tr w:rsidR="00AD1EE7" w14:paraId="4944E0CC"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0F40DA8D"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Mean</w:t>
            </w:r>
          </w:p>
        </w:tc>
        <w:tc>
          <w:tcPr>
            <w:tcW w:w="1030" w:type="pct"/>
            <w:tcBorders>
              <w:top w:val="nil"/>
              <w:left w:val="nil"/>
              <w:bottom w:val="single" w:sz="4" w:space="0" w:color="auto"/>
              <w:right w:val="single" w:sz="4" w:space="0" w:color="auto"/>
            </w:tcBorders>
            <w:shd w:val="clear" w:color="auto" w:fill="auto"/>
            <w:noWrap/>
            <w:vAlign w:val="bottom"/>
            <w:hideMark/>
          </w:tcPr>
          <w:p w14:paraId="460D0BCB"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3.656766917</w:t>
            </w:r>
          </w:p>
        </w:tc>
        <w:tc>
          <w:tcPr>
            <w:tcW w:w="891" w:type="pct"/>
            <w:tcBorders>
              <w:top w:val="nil"/>
              <w:left w:val="nil"/>
              <w:bottom w:val="single" w:sz="4" w:space="0" w:color="auto"/>
              <w:right w:val="single" w:sz="4" w:space="0" w:color="auto"/>
            </w:tcBorders>
            <w:shd w:val="clear" w:color="auto" w:fill="auto"/>
            <w:noWrap/>
            <w:vAlign w:val="bottom"/>
            <w:hideMark/>
          </w:tcPr>
          <w:p w14:paraId="7D8A49E7"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4.422180451</w:t>
            </w:r>
          </w:p>
        </w:tc>
        <w:tc>
          <w:tcPr>
            <w:tcW w:w="891" w:type="pct"/>
            <w:tcBorders>
              <w:top w:val="nil"/>
              <w:left w:val="nil"/>
              <w:bottom w:val="single" w:sz="4" w:space="0" w:color="auto"/>
              <w:right w:val="single" w:sz="4" w:space="0" w:color="auto"/>
            </w:tcBorders>
            <w:shd w:val="clear" w:color="auto" w:fill="auto"/>
            <w:noWrap/>
            <w:vAlign w:val="bottom"/>
            <w:hideMark/>
          </w:tcPr>
          <w:p w14:paraId="3D4216FB"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4.093609023</w:t>
            </w:r>
          </w:p>
        </w:tc>
        <w:tc>
          <w:tcPr>
            <w:tcW w:w="926" w:type="pct"/>
            <w:tcBorders>
              <w:top w:val="nil"/>
              <w:left w:val="nil"/>
              <w:bottom w:val="single" w:sz="4" w:space="0" w:color="auto"/>
              <w:right w:val="single" w:sz="4" w:space="0" w:color="auto"/>
            </w:tcBorders>
            <w:shd w:val="clear" w:color="auto" w:fill="auto"/>
            <w:noWrap/>
            <w:vAlign w:val="bottom"/>
            <w:hideMark/>
          </w:tcPr>
          <w:p w14:paraId="2B7882F6"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4.790601504</w:t>
            </w:r>
          </w:p>
        </w:tc>
      </w:tr>
      <w:tr w:rsidR="00AD1EE7" w14:paraId="0E314EE5"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7270CC3F"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Standard Error</w:t>
            </w:r>
          </w:p>
        </w:tc>
        <w:tc>
          <w:tcPr>
            <w:tcW w:w="1030" w:type="pct"/>
            <w:tcBorders>
              <w:top w:val="nil"/>
              <w:left w:val="nil"/>
              <w:bottom w:val="single" w:sz="4" w:space="0" w:color="auto"/>
              <w:right w:val="single" w:sz="4" w:space="0" w:color="auto"/>
            </w:tcBorders>
            <w:shd w:val="clear" w:color="auto" w:fill="auto"/>
            <w:noWrap/>
            <w:vAlign w:val="bottom"/>
            <w:hideMark/>
          </w:tcPr>
          <w:p w14:paraId="6C587A6E"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0.056012181</w:t>
            </w:r>
          </w:p>
        </w:tc>
        <w:tc>
          <w:tcPr>
            <w:tcW w:w="891" w:type="pct"/>
            <w:tcBorders>
              <w:top w:val="nil"/>
              <w:left w:val="nil"/>
              <w:bottom w:val="single" w:sz="4" w:space="0" w:color="auto"/>
              <w:right w:val="single" w:sz="4" w:space="0" w:color="auto"/>
            </w:tcBorders>
            <w:shd w:val="clear" w:color="auto" w:fill="auto"/>
            <w:noWrap/>
            <w:vAlign w:val="bottom"/>
            <w:hideMark/>
          </w:tcPr>
          <w:p w14:paraId="195DBD62"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0.086769804</w:t>
            </w:r>
          </w:p>
        </w:tc>
        <w:tc>
          <w:tcPr>
            <w:tcW w:w="891" w:type="pct"/>
            <w:tcBorders>
              <w:top w:val="nil"/>
              <w:left w:val="nil"/>
              <w:bottom w:val="single" w:sz="4" w:space="0" w:color="auto"/>
              <w:right w:val="single" w:sz="4" w:space="0" w:color="auto"/>
            </w:tcBorders>
            <w:shd w:val="clear" w:color="auto" w:fill="auto"/>
            <w:noWrap/>
            <w:vAlign w:val="bottom"/>
            <w:hideMark/>
          </w:tcPr>
          <w:p w14:paraId="3C370FF9"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0.050686749</w:t>
            </w:r>
          </w:p>
        </w:tc>
        <w:tc>
          <w:tcPr>
            <w:tcW w:w="926" w:type="pct"/>
            <w:tcBorders>
              <w:top w:val="nil"/>
              <w:left w:val="nil"/>
              <w:bottom w:val="single" w:sz="4" w:space="0" w:color="auto"/>
              <w:right w:val="single" w:sz="4" w:space="0" w:color="auto"/>
            </w:tcBorders>
            <w:shd w:val="clear" w:color="auto" w:fill="auto"/>
            <w:noWrap/>
            <w:vAlign w:val="bottom"/>
            <w:hideMark/>
          </w:tcPr>
          <w:p w14:paraId="276CA637"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0.059863004</w:t>
            </w:r>
          </w:p>
        </w:tc>
      </w:tr>
      <w:tr w:rsidR="00AD1EE7" w14:paraId="50ACEA7D"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14AC628A"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Median</w:t>
            </w:r>
          </w:p>
        </w:tc>
        <w:tc>
          <w:tcPr>
            <w:tcW w:w="1030" w:type="pct"/>
            <w:tcBorders>
              <w:top w:val="nil"/>
              <w:left w:val="nil"/>
              <w:bottom w:val="single" w:sz="4" w:space="0" w:color="auto"/>
              <w:right w:val="single" w:sz="4" w:space="0" w:color="auto"/>
            </w:tcBorders>
            <w:shd w:val="clear" w:color="auto" w:fill="auto"/>
            <w:noWrap/>
            <w:vAlign w:val="bottom"/>
            <w:hideMark/>
          </w:tcPr>
          <w:p w14:paraId="344CF637"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3.5</w:t>
            </w:r>
          </w:p>
        </w:tc>
        <w:tc>
          <w:tcPr>
            <w:tcW w:w="891" w:type="pct"/>
            <w:tcBorders>
              <w:top w:val="nil"/>
              <w:left w:val="nil"/>
              <w:bottom w:val="single" w:sz="4" w:space="0" w:color="auto"/>
              <w:right w:val="single" w:sz="4" w:space="0" w:color="auto"/>
            </w:tcBorders>
            <w:shd w:val="clear" w:color="auto" w:fill="auto"/>
            <w:noWrap/>
            <w:vAlign w:val="bottom"/>
            <w:hideMark/>
          </w:tcPr>
          <w:p w14:paraId="078E6AA9"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5</w:t>
            </w:r>
          </w:p>
        </w:tc>
        <w:tc>
          <w:tcPr>
            <w:tcW w:w="891" w:type="pct"/>
            <w:tcBorders>
              <w:top w:val="nil"/>
              <w:left w:val="nil"/>
              <w:bottom w:val="single" w:sz="4" w:space="0" w:color="auto"/>
              <w:right w:val="single" w:sz="4" w:space="0" w:color="auto"/>
            </w:tcBorders>
            <w:shd w:val="clear" w:color="auto" w:fill="auto"/>
            <w:noWrap/>
            <w:vAlign w:val="bottom"/>
            <w:hideMark/>
          </w:tcPr>
          <w:p w14:paraId="7D9E7E3A"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4.3</w:t>
            </w:r>
          </w:p>
        </w:tc>
        <w:tc>
          <w:tcPr>
            <w:tcW w:w="926" w:type="pct"/>
            <w:tcBorders>
              <w:top w:val="nil"/>
              <w:left w:val="nil"/>
              <w:bottom w:val="single" w:sz="4" w:space="0" w:color="auto"/>
              <w:right w:val="single" w:sz="4" w:space="0" w:color="auto"/>
            </w:tcBorders>
            <w:shd w:val="clear" w:color="auto" w:fill="auto"/>
            <w:noWrap/>
            <w:vAlign w:val="bottom"/>
            <w:hideMark/>
          </w:tcPr>
          <w:p w14:paraId="445D770C"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4.8</w:t>
            </w:r>
          </w:p>
        </w:tc>
      </w:tr>
      <w:tr w:rsidR="00AD1EE7" w14:paraId="453A8961"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14ACA32A"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Mode</w:t>
            </w:r>
          </w:p>
        </w:tc>
        <w:tc>
          <w:tcPr>
            <w:tcW w:w="1030" w:type="pct"/>
            <w:tcBorders>
              <w:top w:val="nil"/>
              <w:left w:val="nil"/>
              <w:bottom w:val="single" w:sz="4" w:space="0" w:color="auto"/>
              <w:right w:val="single" w:sz="4" w:space="0" w:color="auto"/>
            </w:tcBorders>
            <w:shd w:val="clear" w:color="auto" w:fill="auto"/>
            <w:noWrap/>
            <w:vAlign w:val="bottom"/>
            <w:hideMark/>
          </w:tcPr>
          <w:p w14:paraId="3DFC4F5C"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3.5</w:t>
            </w:r>
          </w:p>
        </w:tc>
        <w:tc>
          <w:tcPr>
            <w:tcW w:w="891" w:type="pct"/>
            <w:tcBorders>
              <w:top w:val="nil"/>
              <w:left w:val="nil"/>
              <w:bottom w:val="single" w:sz="4" w:space="0" w:color="auto"/>
              <w:right w:val="single" w:sz="4" w:space="0" w:color="auto"/>
            </w:tcBorders>
            <w:shd w:val="clear" w:color="auto" w:fill="auto"/>
            <w:noWrap/>
            <w:vAlign w:val="bottom"/>
            <w:hideMark/>
          </w:tcPr>
          <w:p w14:paraId="137D52BE"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5.3</w:t>
            </w:r>
          </w:p>
        </w:tc>
        <w:tc>
          <w:tcPr>
            <w:tcW w:w="891" w:type="pct"/>
            <w:tcBorders>
              <w:top w:val="nil"/>
              <w:left w:val="nil"/>
              <w:bottom w:val="single" w:sz="4" w:space="0" w:color="auto"/>
              <w:right w:val="single" w:sz="4" w:space="0" w:color="auto"/>
            </w:tcBorders>
            <w:shd w:val="clear" w:color="auto" w:fill="auto"/>
            <w:noWrap/>
            <w:vAlign w:val="bottom"/>
            <w:hideMark/>
          </w:tcPr>
          <w:p w14:paraId="49DC0017"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4.7</w:t>
            </w:r>
          </w:p>
        </w:tc>
        <w:tc>
          <w:tcPr>
            <w:tcW w:w="926" w:type="pct"/>
            <w:tcBorders>
              <w:top w:val="nil"/>
              <w:left w:val="nil"/>
              <w:bottom w:val="single" w:sz="4" w:space="0" w:color="auto"/>
              <w:right w:val="single" w:sz="4" w:space="0" w:color="auto"/>
            </w:tcBorders>
            <w:shd w:val="clear" w:color="auto" w:fill="auto"/>
            <w:noWrap/>
            <w:vAlign w:val="bottom"/>
            <w:hideMark/>
          </w:tcPr>
          <w:p w14:paraId="17FC4D9F"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4.3</w:t>
            </w:r>
          </w:p>
        </w:tc>
      </w:tr>
      <w:tr w:rsidR="00AD1EE7" w14:paraId="5D9C013F"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71B5260D"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Standard Deviation</w:t>
            </w:r>
          </w:p>
        </w:tc>
        <w:tc>
          <w:tcPr>
            <w:tcW w:w="1030" w:type="pct"/>
            <w:tcBorders>
              <w:top w:val="nil"/>
              <w:left w:val="nil"/>
              <w:bottom w:val="single" w:sz="4" w:space="0" w:color="auto"/>
              <w:right w:val="single" w:sz="4" w:space="0" w:color="auto"/>
            </w:tcBorders>
            <w:shd w:val="clear" w:color="auto" w:fill="auto"/>
            <w:noWrap/>
            <w:vAlign w:val="bottom"/>
            <w:hideMark/>
          </w:tcPr>
          <w:p w14:paraId="4D81BC6E"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0.913531029</w:t>
            </w:r>
          </w:p>
        </w:tc>
        <w:tc>
          <w:tcPr>
            <w:tcW w:w="891" w:type="pct"/>
            <w:tcBorders>
              <w:top w:val="nil"/>
              <w:left w:val="nil"/>
              <w:bottom w:val="single" w:sz="4" w:space="0" w:color="auto"/>
              <w:right w:val="single" w:sz="4" w:space="0" w:color="auto"/>
            </w:tcBorders>
            <w:shd w:val="clear" w:color="auto" w:fill="auto"/>
            <w:noWrap/>
            <w:vAlign w:val="bottom"/>
            <w:hideMark/>
          </w:tcPr>
          <w:p w14:paraId="05269D9C"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1.415172681</w:t>
            </w:r>
          </w:p>
        </w:tc>
        <w:tc>
          <w:tcPr>
            <w:tcW w:w="891" w:type="pct"/>
            <w:tcBorders>
              <w:top w:val="nil"/>
              <w:left w:val="nil"/>
              <w:bottom w:val="single" w:sz="4" w:space="0" w:color="auto"/>
              <w:right w:val="single" w:sz="4" w:space="0" w:color="auto"/>
            </w:tcBorders>
            <w:shd w:val="clear" w:color="auto" w:fill="auto"/>
            <w:noWrap/>
            <w:vAlign w:val="bottom"/>
            <w:hideMark/>
          </w:tcPr>
          <w:p w14:paraId="35790E63"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0.826675852</w:t>
            </w:r>
          </w:p>
        </w:tc>
        <w:tc>
          <w:tcPr>
            <w:tcW w:w="926" w:type="pct"/>
            <w:tcBorders>
              <w:top w:val="nil"/>
              <w:left w:val="nil"/>
              <w:bottom w:val="single" w:sz="4" w:space="0" w:color="auto"/>
              <w:right w:val="single" w:sz="4" w:space="0" w:color="auto"/>
            </w:tcBorders>
            <w:shd w:val="clear" w:color="auto" w:fill="auto"/>
            <w:noWrap/>
            <w:vAlign w:val="bottom"/>
            <w:hideMark/>
          </w:tcPr>
          <w:p w14:paraId="0029C5F5"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0.976336054</w:t>
            </w:r>
          </w:p>
        </w:tc>
      </w:tr>
      <w:tr w:rsidR="00AD1EE7" w14:paraId="3528DA00"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44E8C566"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Sample Variance</w:t>
            </w:r>
          </w:p>
        </w:tc>
        <w:tc>
          <w:tcPr>
            <w:tcW w:w="1030" w:type="pct"/>
            <w:tcBorders>
              <w:top w:val="nil"/>
              <w:left w:val="nil"/>
              <w:bottom w:val="single" w:sz="4" w:space="0" w:color="auto"/>
              <w:right w:val="single" w:sz="4" w:space="0" w:color="auto"/>
            </w:tcBorders>
            <w:shd w:val="clear" w:color="auto" w:fill="auto"/>
            <w:noWrap/>
            <w:vAlign w:val="bottom"/>
            <w:hideMark/>
          </w:tcPr>
          <w:p w14:paraId="30E9B76B"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0.834538942</w:t>
            </w:r>
          </w:p>
        </w:tc>
        <w:tc>
          <w:tcPr>
            <w:tcW w:w="891" w:type="pct"/>
            <w:tcBorders>
              <w:top w:val="nil"/>
              <w:left w:val="nil"/>
              <w:bottom w:val="single" w:sz="4" w:space="0" w:color="auto"/>
              <w:right w:val="single" w:sz="4" w:space="0" w:color="auto"/>
            </w:tcBorders>
            <w:shd w:val="clear" w:color="auto" w:fill="auto"/>
            <w:noWrap/>
            <w:vAlign w:val="bottom"/>
            <w:hideMark/>
          </w:tcPr>
          <w:p w14:paraId="112E43CA"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2.002713718</w:t>
            </w:r>
          </w:p>
        </w:tc>
        <w:tc>
          <w:tcPr>
            <w:tcW w:w="891" w:type="pct"/>
            <w:tcBorders>
              <w:top w:val="nil"/>
              <w:left w:val="nil"/>
              <w:bottom w:val="single" w:sz="4" w:space="0" w:color="auto"/>
              <w:right w:val="single" w:sz="4" w:space="0" w:color="auto"/>
            </w:tcBorders>
            <w:shd w:val="clear" w:color="auto" w:fill="auto"/>
            <w:noWrap/>
            <w:vAlign w:val="bottom"/>
            <w:hideMark/>
          </w:tcPr>
          <w:p w14:paraId="36EB4D89"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0.683392964</w:t>
            </w:r>
          </w:p>
        </w:tc>
        <w:tc>
          <w:tcPr>
            <w:tcW w:w="926" w:type="pct"/>
            <w:tcBorders>
              <w:top w:val="nil"/>
              <w:left w:val="nil"/>
              <w:bottom w:val="single" w:sz="4" w:space="0" w:color="auto"/>
              <w:right w:val="single" w:sz="4" w:space="0" w:color="auto"/>
            </w:tcBorders>
            <w:shd w:val="clear" w:color="auto" w:fill="auto"/>
            <w:noWrap/>
            <w:vAlign w:val="bottom"/>
            <w:hideMark/>
          </w:tcPr>
          <w:p w14:paraId="7C0A6099"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0.95323209</w:t>
            </w:r>
          </w:p>
        </w:tc>
      </w:tr>
      <w:tr w:rsidR="00AD1EE7" w14:paraId="0F0AF046"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7B3FF4C2"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lastRenderedPageBreak/>
              <w:t>Kurtosis</w:t>
            </w:r>
          </w:p>
        </w:tc>
        <w:tc>
          <w:tcPr>
            <w:tcW w:w="1030" w:type="pct"/>
            <w:tcBorders>
              <w:top w:val="nil"/>
              <w:left w:val="nil"/>
              <w:bottom w:val="single" w:sz="4" w:space="0" w:color="auto"/>
              <w:right w:val="single" w:sz="4" w:space="0" w:color="auto"/>
            </w:tcBorders>
            <w:shd w:val="clear" w:color="auto" w:fill="auto"/>
            <w:noWrap/>
            <w:vAlign w:val="bottom"/>
            <w:hideMark/>
          </w:tcPr>
          <w:p w14:paraId="5F9DB09C"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0.812462244</w:t>
            </w:r>
          </w:p>
        </w:tc>
        <w:tc>
          <w:tcPr>
            <w:tcW w:w="891" w:type="pct"/>
            <w:tcBorders>
              <w:top w:val="nil"/>
              <w:left w:val="nil"/>
              <w:bottom w:val="single" w:sz="4" w:space="0" w:color="auto"/>
              <w:right w:val="single" w:sz="4" w:space="0" w:color="auto"/>
            </w:tcBorders>
            <w:shd w:val="clear" w:color="auto" w:fill="auto"/>
            <w:noWrap/>
            <w:vAlign w:val="bottom"/>
            <w:hideMark/>
          </w:tcPr>
          <w:p w14:paraId="3F8D2D82"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-1.151926195</w:t>
            </w:r>
          </w:p>
        </w:tc>
        <w:tc>
          <w:tcPr>
            <w:tcW w:w="891" w:type="pct"/>
            <w:tcBorders>
              <w:top w:val="nil"/>
              <w:left w:val="nil"/>
              <w:bottom w:val="single" w:sz="4" w:space="0" w:color="auto"/>
              <w:right w:val="single" w:sz="4" w:space="0" w:color="auto"/>
            </w:tcBorders>
            <w:shd w:val="clear" w:color="auto" w:fill="auto"/>
            <w:noWrap/>
            <w:vAlign w:val="bottom"/>
            <w:hideMark/>
          </w:tcPr>
          <w:p w14:paraId="2617B017"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-1.187807168</w:t>
            </w:r>
          </w:p>
        </w:tc>
        <w:tc>
          <w:tcPr>
            <w:tcW w:w="926" w:type="pct"/>
            <w:tcBorders>
              <w:top w:val="nil"/>
              <w:left w:val="nil"/>
              <w:bottom w:val="single" w:sz="4" w:space="0" w:color="auto"/>
              <w:right w:val="single" w:sz="4" w:space="0" w:color="auto"/>
            </w:tcBorders>
            <w:shd w:val="clear" w:color="auto" w:fill="auto"/>
            <w:noWrap/>
            <w:vAlign w:val="bottom"/>
            <w:hideMark/>
          </w:tcPr>
          <w:p w14:paraId="75CB305A"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-0.164233112</w:t>
            </w:r>
          </w:p>
        </w:tc>
      </w:tr>
      <w:tr w:rsidR="00AD1EE7" w14:paraId="0282D1A9"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31B05F68"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Skewness</w:t>
            </w:r>
          </w:p>
        </w:tc>
        <w:tc>
          <w:tcPr>
            <w:tcW w:w="1030" w:type="pct"/>
            <w:tcBorders>
              <w:top w:val="nil"/>
              <w:left w:val="nil"/>
              <w:bottom w:val="single" w:sz="4" w:space="0" w:color="auto"/>
              <w:right w:val="single" w:sz="4" w:space="0" w:color="auto"/>
            </w:tcBorders>
            <w:shd w:val="clear" w:color="auto" w:fill="auto"/>
            <w:noWrap/>
            <w:vAlign w:val="bottom"/>
            <w:hideMark/>
          </w:tcPr>
          <w:p w14:paraId="5648F88A"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0.924876461</w:t>
            </w:r>
          </w:p>
        </w:tc>
        <w:tc>
          <w:tcPr>
            <w:tcW w:w="891" w:type="pct"/>
            <w:tcBorders>
              <w:top w:val="nil"/>
              <w:left w:val="nil"/>
              <w:bottom w:val="single" w:sz="4" w:space="0" w:color="auto"/>
              <w:right w:val="single" w:sz="4" w:space="0" w:color="auto"/>
            </w:tcBorders>
            <w:shd w:val="clear" w:color="auto" w:fill="auto"/>
            <w:noWrap/>
            <w:vAlign w:val="bottom"/>
            <w:hideMark/>
          </w:tcPr>
          <w:p w14:paraId="4873A537"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-0.483038367</w:t>
            </w:r>
          </w:p>
        </w:tc>
        <w:tc>
          <w:tcPr>
            <w:tcW w:w="891" w:type="pct"/>
            <w:tcBorders>
              <w:top w:val="nil"/>
              <w:left w:val="nil"/>
              <w:bottom w:val="single" w:sz="4" w:space="0" w:color="auto"/>
              <w:right w:val="single" w:sz="4" w:space="0" w:color="auto"/>
            </w:tcBorders>
            <w:shd w:val="clear" w:color="auto" w:fill="auto"/>
            <w:noWrap/>
            <w:vAlign w:val="bottom"/>
            <w:hideMark/>
          </w:tcPr>
          <w:p w14:paraId="17961C14"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0.05228852</w:t>
            </w:r>
          </w:p>
        </w:tc>
        <w:tc>
          <w:tcPr>
            <w:tcW w:w="926" w:type="pct"/>
            <w:tcBorders>
              <w:top w:val="nil"/>
              <w:left w:val="nil"/>
              <w:bottom w:val="single" w:sz="4" w:space="0" w:color="auto"/>
              <w:right w:val="single" w:sz="4" w:space="0" w:color="auto"/>
            </w:tcBorders>
            <w:shd w:val="clear" w:color="auto" w:fill="auto"/>
            <w:noWrap/>
            <w:vAlign w:val="bottom"/>
            <w:hideMark/>
          </w:tcPr>
          <w:p w14:paraId="74BFF0B9"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-0.207449789</w:t>
            </w:r>
          </w:p>
        </w:tc>
      </w:tr>
      <w:tr w:rsidR="00AD1EE7" w14:paraId="57B936CD"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6FB1FBF6"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Range</w:t>
            </w:r>
          </w:p>
        </w:tc>
        <w:tc>
          <w:tcPr>
            <w:tcW w:w="1030" w:type="pct"/>
            <w:tcBorders>
              <w:top w:val="nil"/>
              <w:left w:val="nil"/>
              <w:bottom w:val="single" w:sz="4" w:space="0" w:color="auto"/>
              <w:right w:val="single" w:sz="4" w:space="0" w:color="auto"/>
            </w:tcBorders>
            <w:shd w:val="clear" w:color="auto" w:fill="auto"/>
            <w:noWrap/>
            <w:vAlign w:val="bottom"/>
            <w:hideMark/>
          </w:tcPr>
          <w:p w14:paraId="1A1BF5B9"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4.5</w:t>
            </w:r>
          </w:p>
        </w:tc>
        <w:tc>
          <w:tcPr>
            <w:tcW w:w="891" w:type="pct"/>
            <w:tcBorders>
              <w:top w:val="nil"/>
              <w:left w:val="nil"/>
              <w:bottom w:val="single" w:sz="4" w:space="0" w:color="auto"/>
              <w:right w:val="single" w:sz="4" w:space="0" w:color="auto"/>
            </w:tcBorders>
            <w:shd w:val="clear" w:color="auto" w:fill="auto"/>
            <w:noWrap/>
            <w:vAlign w:val="bottom"/>
            <w:hideMark/>
          </w:tcPr>
          <w:p w14:paraId="3DAE6D3C"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4.9</w:t>
            </w:r>
          </w:p>
        </w:tc>
        <w:tc>
          <w:tcPr>
            <w:tcW w:w="891" w:type="pct"/>
            <w:tcBorders>
              <w:top w:val="nil"/>
              <w:left w:val="nil"/>
              <w:bottom w:val="single" w:sz="4" w:space="0" w:color="auto"/>
              <w:right w:val="single" w:sz="4" w:space="0" w:color="auto"/>
            </w:tcBorders>
            <w:shd w:val="clear" w:color="auto" w:fill="auto"/>
            <w:noWrap/>
            <w:vAlign w:val="bottom"/>
            <w:hideMark/>
          </w:tcPr>
          <w:p w14:paraId="67A16505"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2.8</w:t>
            </w:r>
          </w:p>
        </w:tc>
        <w:tc>
          <w:tcPr>
            <w:tcW w:w="926" w:type="pct"/>
            <w:tcBorders>
              <w:top w:val="nil"/>
              <w:left w:val="nil"/>
              <w:bottom w:val="single" w:sz="4" w:space="0" w:color="auto"/>
              <w:right w:val="single" w:sz="4" w:space="0" w:color="auto"/>
            </w:tcBorders>
            <w:shd w:val="clear" w:color="auto" w:fill="auto"/>
            <w:noWrap/>
            <w:vAlign w:val="bottom"/>
            <w:hideMark/>
          </w:tcPr>
          <w:p w14:paraId="35AD62EF"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4.7</w:t>
            </w:r>
          </w:p>
        </w:tc>
      </w:tr>
      <w:tr w:rsidR="00AD1EE7" w14:paraId="770DC003"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7778375A"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Minimum</w:t>
            </w:r>
          </w:p>
        </w:tc>
        <w:tc>
          <w:tcPr>
            <w:tcW w:w="1030" w:type="pct"/>
            <w:tcBorders>
              <w:top w:val="nil"/>
              <w:left w:val="nil"/>
              <w:bottom w:val="single" w:sz="4" w:space="0" w:color="auto"/>
              <w:right w:val="single" w:sz="4" w:space="0" w:color="auto"/>
            </w:tcBorders>
            <w:shd w:val="clear" w:color="auto" w:fill="auto"/>
            <w:noWrap/>
            <w:vAlign w:val="bottom"/>
            <w:hideMark/>
          </w:tcPr>
          <w:p w14:paraId="59F07294"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2.1</w:t>
            </w:r>
          </w:p>
        </w:tc>
        <w:tc>
          <w:tcPr>
            <w:tcW w:w="891" w:type="pct"/>
            <w:tcBorders>
              <w:top w:val="nil"/>
              <w:left w:val="nil"/>
              <w:bottom w:val="single" w:sz="4" w:space="0" w:color="auto"/>
              <w:right w:val="single" w:sz="4" w:space="0" w:color="auto"/>
            </w:tcBorders>
            <w:shd w:val="clear" w:color="auto" w:fill="auto"/>
            <w:noWrap/>
            <w:vAlign w:val="bottom"/>
            <w:hideMark/>
          </w:tcPr>
          <w:p w14:paraId="78686D68"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2.1</w:t>
            </w:r>
          </w:p>
        </w:tc>
        <w:tc>
          <w:tcPr>
            <w:tcW w:w="891" w:type="pct"/>
            <w:tcBorders>
              <w:top w:val="nil"/>
              <w:left w:val="nil"/>
              <w:bottom w:val="single" w:sz="4" w:space="0" w:color="auto"/>
              <w:right w:val="single" w:sz="4" w:space="0" w:color="auto"/>
            </w:tcBorders>
            <w:shd w:val="clear" w:color="auto" w:fill="auto"/>
            <w:noWrap/>
            <w:vAlign w:val="bottom"/>
            <w:hideMark/>
          </w:tcPr>
          <w:p w14:paraId="593A2039"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2.9</w:t>
            </w:r>
          </w:p>
        </w:tc>
        <w:tc>
          <w:tcPr>
            <w:tcW w:w="926" w:type="pct"/>
            <w:tcBorders>
              <w:top w:val="nil"/>
              <w:left w:val="nil"/>
              <w:bottom w:val="single" w:sz="4" w:space="0" w:color="auto"/>
              <w:right w:val="single" w:sz="4" w:space="0" w:color="auto"/>
            </w:tcBorders>
            <w:shd w:val="clear" w:color="auto" w:fill="auto"/>
            <w:noWrap/>
            <w:vAlign w:val="bottom"/>
            <w:hideMark/>
          </w:tcPr>
          <w:p w14:paraId="25F304D9"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2.3</w:t>
            </w:r>
          </w:p>
        </w:tc>
      </w:tr>
      <w:tr w:rsidR="00AD1EE7" w14:paraId="5A292BD2"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658C225B"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Maximum</w:t>
            </w:r>
          </w:p>
        </w:tc>
        <w:tc>
          <w:tcPr>
            <w:tcW w:w="1030" w:type="pct"/>
            <w:tcBorders>
              <w:top w:val="nil"/>
              <w:left w:val="nil"/>
              <w:bottom w:val="single" w:sz="4" w:space="0" w:color="auto"/>
              <w:right w:val="single" w:sz="4" w:space="0" w:color="auto"/>
            </w:tcBorders>
            <w:shd w:val="clear" w:color="auto" w:fill="auto"/>
            <w:noWrap/>
            <w:vAlign w:val="bottom"/>
            <w:hideMark/>
          </w:tcPr>
          <w:p w14:paraId="4C0EF338"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6.6</w:t>
            </w:r>
          </w:p>
        </w:tc>
        <w:tc>
          <w:tcPr>
            <w:tcW w:w="891" w:type="pct"/>
            <w:tcBorders>
              <w:top w:val="nil"/>
              <w:left w:val="nil"/>
              <w:bottom w:val="single" w:sz="4" w:space="0" w:color="auto"/>
              <w:right w:val="single" w:sz="4" w:space="0" w:color="auto"/>
            </w:tcBorders>
            <w:shd w:val="clear" w:color="auto" w:fill="auto"/>
            <w:noWrap/>
            <w:vAlign w:val="bottom"/>
            <w:hideMark/>
          </w:tcPr>
          <w:p w14:paraId="74959657"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7</w:t>
            </w:r>
          </w:p>
        </w:tc>
        <w:tc>
          <w:tcPr>
            <w:tcW w:w="891" w:type="pct"/>
            <w:tcBorders>
              <w:top w:val="nil"/>
              <w:left w:val="nil"/>
              <w:bottom w:val="single" w:sz="4" w:space="0" w:color="auto"/>
              <w:right w:val="single" w:sz="4" w:space="0" w:color="auto"/>
            </w:tcBorders>
            <w:shd w:val="clear" w:color="auto" w:fill="auto"/>
            <w:noWrap/>
            <w:vAlign w:val="bottom"/>
            <w:hideMark/>
          </w:tcPr>
          <w:p w14:paraId="29B57022"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5.7</w:t>
            </w:r>
          </w:p>
        </w:tc>
        <w:tc>
          <w:tcPr>
            <w:tcW w:w="926" w:type="pct"/>
            <w:tcBorders>
              <w:top w:val="nil"/>
              <w:left w:val="nil"/>
              <w:bottom w:val="single" w:sz="4" w:space="0" w:color="auto"/>
              <w:right w:val="single" w:sz="4" w:space="0" w:color="auto"/>
            </w:tcBorders>
            <w:shd w:val="clear" w:color="auto" w:fill="auto"/>
            <w:noWrap/>
            <w:vAlign w:val="bottom"/>
            <w:hideMark/>
          </w:tcPr>
          <w:p w14:paraId="309B8AD0"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7</w:t>
            </w:r>
          </w:p>
        </w:tc>
      </w:tr>
      <w:tr w:rsidR="00AD1EE7" w14:paraId="5426DA6B"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78830475"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Sum</w:t>
            </w:r>
          </w:p>
        </w:tc>
        <w:tc>
          <w:tcPr>
            <w:tcW w:w="1030" w:type="pct"/>
            <w:tcBorders>
              <w:top w:val="nil"/>
              <w:left w:val="nil"/>
              <w:bottom w:val="single" w:sz="4" w:space="0" w:color="auto"/>
              <w:right w:val="single" w:sz="4" w:space="0" w:color="auto"/>
            </w:tcBorders>
            <w:shd w:val="clear" w:color="auto" w:fill="auto"/>
            <w:noWrap/>
            <w:vAlign w:val="bottom"/>
            <w:hideMark/>
          </w:tcPr>
          <w:p w14:paraId="554EEF4B"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972.7</w:t>
            </w:r>
          </w:p>
        </w:tc>
        <w:tc>
          <w:tcPr>
            <w:tcW w:w="891" w:type="pct"/>
            <w:tcBorders>
              <w:top w:val="nil"/>
              <w:left w:val="nil"/>
              <w:bottom w:val="single" w:sz="4" w:space="0" w:color="auto"/>
              <w:right w:val="single" w:sz="4" w:space="0" w:color="auto"/>
            </w:tcBorders>
            <w:shd w:val="clear" w:color="auto" w:fill="auto"/>
            <w:noWrap/>
            <w:vAlign w:val="bottom"/>
            <w:hideMark/>
          </w:tcPr>
          <w:p w14:paraId="503EF493"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1176.3</w:t>
            </w:r>
          </w:p>
        </w:tc>
        <w:tc>
          <w:tcPr>
            <w:tcW w:w="891" w:type="pct"/>
            <w:tcBorders>
              <w:top w:val="nil"/>
              <w:left w:val="nil"/>
              <w:bottom w:val="single" w:sz="4" w:space="0" w:color="auto"/>
              <w:right w:val="single" w:sz="4" w:space="0" w:color="auto"/>
            </w:tcBorders>
            <w:shd w:val="clear" w:color="auto" w:fill="auto"/>
            <w:noWrap/>
            <w:vAlign w:val="bottom"/>
            <w:hideMark/>
          </w:tcPr>
          <w:p w14:paraId="1A398D90"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1088.9</w:t>
            </w:r>
          </w:p>
        </w:tc>
        <w:tc>
          <w:tcPr>
            <w:tcW w:w="926" w:type="pct"/>
            <w:tcBorders>
              <w:top w:val="nil"/>
              <w:left w:val="nil"/>
              <w:bottom w:val="single" w:sz="4" w:space="0" w:color="auto"/>
              <w:right w:val="single" w:sz="4" w:space="0" w:color="auto"/>
            </w:tcBorders>
            <w:shd w:val="clear" w:color="auto" w:fill="auto"/>
            <w:noWrap/>
            <w:vAlign w:val="bottom"/>
            <w:hideMark/>
          </w:tcPr>
          <w:p w14:paraId="2CF87ED7"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1274.3</w:t>
            </w:r>
          </w:p>
        </w:tc>
      </w:tr>
      <w:tr w:rsidR="00AD1EE7" w14:paraId="60122474" w14:textId="77777777" w:rsidTr="00774C6E">
        <w:trPr>
          <w:trHeight w:val="255"/>
        </w:trPr>
        <w:tc>
          <w:tcPr>
            <w:tcW w:w="1262" w:type="pct"/>
            <w:tcBorders>
              <w:top w:val="nil"/>
              <w:left w:val="single" w:sz="4" w:space="0" w:color="auto"/>
              <w:bottom w:val="single" w:sz="4" w:space="0" w:color="auto"/>
              <w:right w:val="single" w:sz="4" w:space="0" w:color="auto"/>
            </w:tcBorders>
            <w:shd w:val="clear" w:color="auto" w:fill="auto"/>
            <w:noWrap/>
            <w:vAlign w:val="bottom"/>
            <w:hideMark/>
          </w:tcPr>
          <w:p w14:paraId="71960C51" w14:textId="77777777" w:rsidR="00AD1EE7" w:rsidRDefault="00AD1EE7" w:rsidP="00EE7D6E">
            <w:pPr>
              <w:spacing w:line="480" w:lineRule="auto"/>
              <w:rPr>
                <w:rFonts w:ascii="Arial" w:hAnsi="Arial" w:cs="Arial"/>
                <w:b/>
                <w:bCs/>
                <w:sz w:val="20"/>
                <w:szCs w:val="20"/>
              </w:rPr>
            </w:pPr>
            <w:r>
              <w:rPr>
                <w:rFonts w:ascii="Arial" w:hAnsi="Arial" w:cs="Arial"/>
                <w:b/>
                <w:bCs/>
                <w:sz w:val="20"/>
                <w:szCs w:val="20"/>
              </w:rPr>
              <w:t>Count</w:t>
            </w:r>
          </w:p>
        </w:tc>
        <w:tc>
          <w:tcPr>
            <w:tcW w:w="1030" w:type="pct"/>
            <w:tcBorders>
              <w:top w:val="nil"/>
              <w:left w:val="nil"/>
              <w:bottom w:val="single" w:sz="4" w:space="0" w:color="auto"/>
              <w:right w:val="single" w:sz="4" w:space="0" w:color="auto"/>
            </w:tcBorders>
            <w:shd w:val="clear" w:color="auto" w:fill="auto"/>
            <w:noWrap/>
            <w:vAlign w:val="bottom"/>
            <w:hideMark/>
          </w:tcPr>
          <w:p w14:paraId="24636A47"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266</w:t>
            </w:r>
          </w:p>
        </w:tc>
        <w:tc>
          <w:tcPr>
            <w:tcW w:w="891" w:type="pct"/>
            <w:tcBorders>
              <w:top w:val="nil"/>
              <w:left w:val="nil"/>
              <w:bottom w:val="single" w:sz="4" w:space="0" w:color="auto"/>
              <w:right w:val="single" w:sz="4" w:space="0" w:color="auto"/>
            </w:tcBorders>
            <w:shd w:val="clear" w:color="auto" w:fill="auto"/>
            <w:noWrap/>
            <w:vAlign w:val="bottom"/>
            <w:hideMark/>
          </w:tcPr>
          <w:p w14:paraId="14F0DA2C"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266</w:t>
            </w:r>
          </w:p>
        </w:tc>
        <w:tc>
          <w:tcPr>
            <w:tcW w:w="891" w:type="pct"/>
            <w:tcBorders>
              <w:top w:val="nil"/>
              <w:left w:val="nil"/>
              <w:bottom w:val="single" w:sz="4" w:space="0" w:color="auto"/>
              <w:right w:val="single" w:sz="4" w:space="0" w:color="auto"/>
            </w:tcBorders>
            <w:shd w:val="clear" w:color="auto" w:fill="auto"/>
            <w:noWrap/>
            <w:vAlign w:val="bottom"/>
            <w:hideMark/>
          </w:tcPr>
          <w:p w14:paraId="76EE7C2F"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266</w:t>
            </w:r>
          </w:p>
        </w:tc>
        <w:tc>
          <w:tcPr>
            <w:tcW w:w="926" w:type="pct"/>
            <w:tcBorders>
              <w:top w:val="nil"/>
              <w:left w:val="nil"/>
              <w:bottom w:val="single" w:sz="4" w:space="0" w:color="auto"/>
              <w:right w:val="single" w:sz="4" w:space="0" w:color="auto"/>
            </w:tcBorders>
            <w:shd w:val="clear" w:color="auto" w:fill="auto"/>
            <w:noWrap/>
            <w:vAlign w:val="bottom"/>
            <w:hideMark/>
          </w:tcPr>
          <w:p w14:paraId="361F0BBD" w14:textId="77777777" w:rsidR="00AD1EE7" w:rsidRDefault="00AD1EE7" w:rsidP="00EE7D6E">
            <w:pPr>
              <w:spacing w:line="480" w:lineRule="auto"/>
              <w:jc w:val="right"/>
              <w:rPr>
                <w:rFonts w:ascii="Arial" w:hAnsi="Arial" w:cs="Arial"/>
                <w:sz w:val="20"/>
                <w:szCs w:val="20"/>
              </w:rPr>
            </w:pPr>
            <w:r>
              <w:rPr>
                <w:rFonts w:ascii="Arial" w:hAnsi="Arial" w:cs="Arial"/>
                <w:sz w:val="20"/>
                <w:szCs w:val="20"/>
              </w:rPr>
              <w:t>266</w:t>
            </w:r>
          </w:p>
        </w:tc>
      </w:tr>
    </w:tbl>
    <w:p w14:paraId="330D6B54" w14:textId="43FAF5D8" w:rsidR="00AD1EE7" w:rsidRDefault="00AD1EE7" w:rsidP="00EE7D6E">
      <w:pPr>
        <w:pStyle w:val="Caption"/>
        <w:spacing w:line="480" w:lineRule="auto"/>
      </w:pPr>
      <w:r>
        <w:t xml:space="preserve">Table </w:t>
      </w:r>
      <w:r>
        <w:fldChar w:fldCharType="begin"/>
      </w:r>
      <w:r>
        <w:instrText xml:space="preserve"> SEQ Table \* ARABIC </w:instrText>
      </w:r>
      <w:r>
        <w:fldChar w:fldCharType="separate"/>
      </w:r>
      <w:r w:rsidR="00F90207">
        <w:rPr>
          <w:noProof/>
        </w:rPr>
        <w:t>1</w:t>
      </w:r>
      <w:r>
        <w:rPr>
          <w:noProof/>
        </w:rPr>
        <w:fldChar w:fldCharType="end"/>
      </w:r>
      <w:r>
        <w:t>: Descriptive statistics</w:t>
      </w:r>
    </w:p>
    <w:p w14:paraId="24DB52A7" w14:textId="77777777" w:rsidR="00AD1EE7" w:rsidRDefault="00AD1EE7" w:rsidP="00EE7D6E">
      <w:pPr>
        <w:spacing w:line="480" w:lineRule="auto"/>
        <w:rPr>
          <w:rFonts w:eastAsia="Calibri"/>
        </w:rPr>
      </w:pPr>
    </w:p>
    <w:p w14:paraId="17EE1680" w14:textId="6562DDF0" w:rsidR="00F475E5" w:rsidRPr="00F475E5" w:rsidRDefault="00AD1EE7" w:rsidP="00EE7D6E">
      <w:pPr>
        <w:spacing w:line="480" w:lineRule="auto"/>
        <w:ind w:firstLine="720"/>
        <w:jc w:val="both"/>
        <w:rPr>
          <w:rFonts w:eastAsia="Calibri"/>
        </w:rPr>
      </w:pPr>
      <w:r>
        <w:rPr>
          <w:rFonts w:eastAsia="Calibri"/>
        </w:rPr>
        <w:t xml:space="preserve">As per the </w:t>
      </w:r>
      <w:r w:rsidRPr="006A2203">
        <w:rPr>
          <w:rFonts w:eastAsia="Calibri"/>
        </w:rPr>
        <w:t>dataset, it</w:t>
      </w:r>
      <w:r w:rsidRPr="006A2203">
        <w:rPr>
          <w:rFonts w:eastAsia="Calibri"/>
        </w:rPr>
        <w:t xml:space="preserve"> presents statistical measures for four key workplace factors: Job Satisfaction, Intrinsic Motivation, Extrinsic Motivation, and Organizational Commitment</w:t>
      </w:r>
      <w:r>
        <w:rPr>
          <w:rFonts w:eastAsia="Calibri"/>
        </w:rPr>
        <w:t xml:space="preserve"> and t</w:t>
      </w:r>
      <w:r w:rsidRPr="006A2203">
        <w:rPr>
          <w:rFonts w:eastAsia="Calibri"/>
        </w:rPr>
        <w:t>hese factors are commonly analyzed in organizational behavior research to assess employee engagement, motivation, and retention.</w:t>
      </w:r>
      <w:r>
        <w:rPr>
          <w:rFonts w:eastAsia="Calibri"/>
        </w:rPr>
        <w:t xml:space="preserve"> According to the </w:t>
      </w:r>
      <w:r w:rsidRPr="006A2203">
        <w:rPr>
          <w:rFonts w:eastAsia="Calibri"/>
        </w:rPr>
        <w:t xml:space="preserve">Mean Values: The highest mean value is Commitment (4.79), indicating strong organizational attachment among employees. </w:t>
      </w:r>
      <w:r>
        <w:rPr>
          <w:rFonts w:eastAsia="Calibri"/>
        </w:rPr>
        <w:t xml:space="preserve">In accordance with </w:t>
      </w:r>
      <w:r w:rsidRPr="006A2203">
        <w:rPr>
          <w:rFonts w:eastAsia="Calibri"/>
        </w:rPr>
        <w:t>Intrinsic Motivation (4.42) is higher than Extrinsic Motivation (4.09), suggesting that employees are more driven by internal rewards (e.g., personal growth) than external incentives (e.g., salary, benefits)</w:t>
      </w:r>
      <w:r>
        <w:rPr>
          <w:rFonts w:eastAsia="Calibri"/>
        </w:rPr>
        <w:t xml:space="preserve"> and </w:t>
      </w:r>
      <w:r w:rsidRPr="006A2203">
        <w:rPr>
          <w:rFonts w:eastAsia="Calibri"/>
        </w:rPr>
        <w:t>Job Satisfaction (3.65) is moderate, indicating room for improvement.</w:t>
      </w:r>
    </w:p>
    <w:p w14:paraId="6979EB6F" w14:textId="7F620730" w:rsidR="00EE4654" w:rsidRPr="00454CAF" w:rsidRDefault="00202586" w:rsidP="00EE7D6E">
      <w:pPr>
        <w:spacing w:line="480" w:lineRule="auto"/>
        <w:jc w:val="center"/>
        <w:rPr>
          <w:rFonts w:eastAsia="Calibri"/>
          <w:b/>
          <w:bCs/>
        </w:rPr>
      </w:pPr>
      <w:r w:rsidRPr="00202586">
        <w:rPr>
          <w:rFonts w:eastAsia="Calibri"/>
          <w:b/>
          <w:bCs/>
        </w:rPr>
        <w:t>PA-727349</w:t>
      </w:r>
    </w:p>
    <w:p w14:paraId="25D0F7B3" w14:textId="5472C349" w:rsidR="00AD1EE7" w:rsidRPr="00AD1EE7" w:rsidRDefault="00AD1EE7" w:rsidP="00EE7D6E">
      <w:pPr>
        <w:spacing w:line="480" w:lineRule="auto"/>
        <w:ind w:firstLine="720"/>
        <w:jc w:val="both"/>
        <w:rPr>
          <w:rFonts w:eastAsia="Calibri"/>
        </w:rPr>
      </w:pPr>
      <w:r w:rsidRPr="00AD1EE7">
        <w:rPr>
          <w:rFonts w:eastAsia="Calibri"/>
        </w:rPr>
        <w:t>In accordance with the data which reveals variations in motivation, satisfaction, and commitment across different groups such as the dataset includes variables gender, age, department, position, and tenure, allowing for a nuanced understanding of how these factors influence employee perceptions and experiences (Locke, E. A., 2023).</w:t>
      </w:r>
    </w:p>
    <w:p w14:paraId="5CBB4DA4" w14:textId="5E137F42" w:rsidR="00AD1EE7" w:rsidRPr="00AD1EE7" w:rsidRDefault="00AD1EE7" w:rsidP="00EE7D6E">
      <w:pPr>
        <w:spacing w:line="480" w:lineRule="auto"/>
        <w:ind w:firstLine="720"/>
        <w:rPr>
          <w:rFonts w:eastAsia="Calibri"/>
        </w:rPr>
      </w:pPr>
      <w:r w:rsidRPr="00AD1EE7">
        <w:rPr>
          <w:rFonts w:eastAsia="Calibri"/>
        </w:rPr>
        <w:lastRenderedPageBreak/>
        <w:drawing>
          <wp:inline distT="0" distB="0" distL="0" distR="0" wp14:anchorId="4060B6C1" wp14:editId="5563507C">
            <wp:extent cx="4581525" cy="2752725"/>
            <wp:effectExtent l="0" t="0" r="9525" b="9525"/>
            <wp:docPr id="842363650" name="Chart 10">
              <a:extLst xmlns:a="http://schemas.openxmlformats.org/drawingml/2006/main">
                <a:ext uri="{FF2B5EF4-FFF2-40B4-BE49-F238E27FC236}">
                  <a16:creationId xmlns:a16="http://schemas.microsoft.com/office/drawing/2014/main" id="{791716B2-2A76-E4C2-EF96-E6CFCA70AF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9E6E96" w14:textId="278D485B" w:rsidR="00AD1EE7" w:rsidRPr="00AD1EE7" w:rsidRDefault="00AD1EE7" w:rsidP="00EE7D6E">
      <w:pPr>
        <w:pStyle w:val="Caption"/>
        <w:spacing w:line="480" w:lineRule="auto"/>
        <w:rPr>
          <w:rFonts w:eastAsia="Calibri"/>
        </w:rPr>
      </w:pPr>
      <w:r>
        <w:t xml:space="preserve">Figure </w:t>
      </w:r>
      <w:fldSimple w:instr=" SEQ Figure \* ARABIC ">
        <w:r w:rsidR="00F90207">
          <w:rPr>
            <w:noProof/>
          </w:rPr>
          <w:t>1</w:t>
        </w:r>
      </w:fldSimple>
      <w:r>
        <w:t xml:space="preserve">: </w:t>
      </w:r>
      <w:r w:rsidRPr="00AD1EE7">
        <w:rPr>
          <w:rFonts w:eastAsia="Calibri"/>
        </w:rPr>
        <w:t xml:space="preserve">Gender analysis </w:t>
      </w:r>
    </w:p>
    <w:p w14:paraId="11053A73" w14:textId="77777777" w:rsidR="00AD1EE7" w:rsidRPr="00AD1EE7" w:rsidRDefault="00AD1EE7" w:rsidP="00EE7D6E">
      <w:pPr>
        <w:spacing w:line="480" w:lineRule="auto"/>
        <w:ind w:firstLine="720"/>
        <w:rPr>
          <w:rFonts w:eastAsia="Calibri"/>
        </w:rPr>
      </w:pPr>
    </w:p>
    <w:p w14:paraId="10A00BF9" w14:textId="76D749BB" w:rsidR="00AD1EE7" w:rsidRPr="00AD1EE7" w:rsidRDefault="00AD1EE7" w:rsidP="00EE7D6E">
      <w:pPr>
        <w:spacing w:line="480" w:lineRule="auto"/>
        <w:ind w:firstLine="720"/>
        <w:rPr>
          <w:rFonts w:eastAsia="Calibri"/>
        </w:rPr>
      </w:pPr>
      <w:r w:rsidRPr="00AD1EE7">
        <w:rPr>
          <w:rFonts w:eastAsia="Calibri"/>
        </w:rPr>
        <w:drawing>
          <wp:inline distT="0" distB="0" distL="0" distR="0" wp14:anchorId="594FF1BD" wp14:editId="219BF373">
            <wp:extent cx="4581525" cy="2752725"/>
            <wp:effectExtent l="0" t="0" r="9525" b="9525"/>
            <wp:docPr id="39131927" name="Chart 9">
              <a:extLst xmlns:a="http://schemas.openxmlformats.org/drawingml/2006/main">
                <a:ext uri="{FF2B5EF4-FFF2-40B4-BE49-F238E27FC236}">
                  <a16:creationId xmlns:a16="http://schemas.microsoft.com/office/drawing/2014/main" id="{0196EC0E-D412-3161-11D6-881DD87A0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F7F9CA" w14:textId="7602BE02" w:rsidR="00AD1EE7" w:rsidRPr="00AD1EE7" w:rsidRDefault="00AD1EE7" w:rsidP="00EE7D6E">
      <w:pPr>
        <w:pStyle w:val="Caption"/>
        <w:spacing w:line="480" w:lineRule="auto"/>
        <w:rPr>
          <w:rFonts w:eastAsia="Calibri"/>
        </w:rPr>
      </w:pPr>
      <w:r>
        <w:t xml:space="preserve">Figure </w:t>
      </w:r>
      <w:fldSimple w:instr=" SEQ Figure \* ARABIC ">
        <w:r w:rsidR="00F90207">
          <w:rPr>
            <w:noProof/>
          </w:rPr>
          <w:t>2</w:t>
        </w:r>
      </w:fldSimple>
      <w:r>
        <w:t xml:space="preserve">: </w:t>
      </w:r>
      <w:r w:rsidRPr="00AD1EE7">
        <w:rPr>
          <w:rFonts w:eastAsia="Calibri"/>
        </w:rPr>
        <w:t>Age Analysis</w:t>
      </w:r>
    </w:p>
    <w:p w14:paraId="5236AC46" w14:textId="77777777" w:rsidR="00AD1EE7" w:rsidRPr="00AD1EE7" w:rsidRDefault="00AD1EE7" w:rsidP="00EE7D6E">
      <w:pPr>
        <w:spacing w:line="480" w:lineRule="auto"/>
        <w:ind w:firstLine="720"/>
        <w:rPr>
          <w:rFonts w:eastAsia="Calibri"/>
        </w:rPr>
      </w:pPr>
    </w:p>
    <w:p w14:paraId="167BD6DE" w14:textId="327559A0" w:rsidR="00AD1EE7" w:rsidRPr="00AD1EE7" w:rsidRDefault="00AD1EE7" w:rsidP="00EE7D6E">
      <w:pPr>
        <w:spacing w:line="480" w:lineRule="auto"/>
        <w:ind w:firstLine="720"/>
        <w:rPr>
          <w:rFonts w:eastAsia="Calibri"/>
        </w:rPr>
      </w:pPr>
      <w:r w:rsidRPr="00AD1EE7">
        <w:rPr>
          <w:rFonts w:eastAsia="Calibri"/>
        </w:rPr>
        <w:lastRenderedPageBreak/>
        <w:drawing>
          <wp:inline distT="0" distB="0" distL="0" distR="0" wp14:anchorId="6AF9C184" wp14:editId="465B2A5F">
            <wp:extent cx="4581525" cy="2752725"/>
            <wp:effectExtent l="0" t="0" r="9525" b="9525"/>
            <wp:docPr id="1465269941" name="Chart 8">
              <a:extLst xmlns:a="http://schemas.openxmlformats.org/drawingml/2006/main">
                <a:ext uri="{FF2B5EF4-FFF2-40B4-BE49-F238E27FC236}">
                  <a16:creationId xmlns:a16="http://schemas.microsoft.com/office/drawing/2014/main" id="{B7040F7B-452F-15F2-8321-83FE7BA52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EEC988" w14:textId="153FA208" w:rsidR="00AD1EE7" w:rsidRPr="00AD1EE7" w:rsidRDefault="00AD1EE7" w:rsidP="00EE7D6E">
      <w:pPr>
        <w:pStyle w:val="Caption"/>
        <w:spacing w:line="480" w:lineRule="auto"/>
        <w:rPr>
          <w:rFonts w:eastAsia="Calibri"/>
        </w:rPr>
      </w:pPr>
      <w:r>
        <w:t xml:space="preserve">Figure </w:t>
      </w:r>
      <w:fldSimple w:instr=" SEQ Figure \* ARABIC ">
        <w:r w:rsidR="00F90207">
          <w:rPr>
            <w:noProof/>
          </w:rPr>
          <w:t>3</w:t>
        </w:r>
      </w:fldSimple>
      <w:r>
        <w:t xml:space="preserve">: </w:t>
      </w:r>
      <w:proofErr w:type="spellStart"/>
      <w:r w:rsidRPr="00AD1EE7">
        <w:rPr>
          <w:rFonts w:eastAsia="Calibri"/>
        </w:rPr>
        <w:t>Departement</w:t>
      </w:r>
      <w:proofErr w:type="spellEnd"/>
      <w:r w:rsidRPr="00AD1EE7">
        <w:rPr>
          <w:rFonts w:eastAsia="Calibri"/>
        </w:rPr>
        <w:t xml:space="preserve"> analysis </w:t>
      </w:r>
    </w:p>
    <w:p w14:paraId="0EB639CE" w14:textId="77777777" w:rsidR="00AD1EE7" w:rsidRPr="00AD1EE7" w:rsidRDefault="00AD1EE7" w:rsidP="00EE7D6E">
      <w:pPr>
        <w:spacing w:line="480" w:lineRule="auto"/>
        <w:ind w:firstLine="720"/>
        <w:rPr>
          <w:rFonts w:eastAsia="Calibri"/>
        </w:rPr>
      </w:pPr>
    </w:p>
    <w:p w14:paraId="7FD44DAD" w14:textId="4F3BC6F4" w:rsidR="00AD1EE7" w:rsidRPr="00AD1EE7" w:rsidRDefault="00AD1EE7" w:rsidP="00EE7D6E">
      <w:pPr>
        <w:spacing w:line="480" w:lineRule="auto"/>
        <w:ind w:firstLine="720"/>
        <w:rPr>
          <w:rFonts w:eastAsia="Calibri"/>
        </w:rPr>
      </w:pPr>
      <w:r w:rsidRPr="00AD1EE7">
        <w:rPr>
          <w:rFonts w:eastAsia="Calibri"/>
        </w:rPr>
        <w:drawing>
          <wp:inline distT="0" distB="0" distL="0" distR="0" wp14:anchorId="0A81C756" wp14:editId="1AF1F474">
            <wp:extent cx="4581525" cy="2752725"/>
            <wp:effectExtent l="0" t="0" r="9525" b="9525"/>
            <wp:docPr id="1631398143" name="Chart 7">
              <a:extLst xmlns:a="http://schemas.openxmlformats.org/drawingml/2006/main">
                <a:ext uri="{FF2B5EF4-FFF2-40B4-BE49-F238E27FC236}">
                  <a16:creationId xmlns:a16="http://schemas.microsoft.com/office/drawing/2014/main" id="{B53CE1B8-AB61-574B-6562-D7587A5F2D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B4EEBF" w14:textId="2DAE58ED" w:rsidR="00AD1EE7" w:rsidRPr="00AD1EE7" w:rsidRDefault="00AD1EE7" w:rsidP="00EE7D6E">
      <w:pPr>
        <w:pStyle w:val="Caption"/>
        <w:spacing w:line="480" w:lineRule="auto"/>
        <w:rPr>
          <w:rFonts w:eastAsia="Calibri"/>
        </w:rPr>
      </w:pPr>
      <w:r>
        <w:t xml:space="preserve">Figure </w:t>
      </w:r>
      <w:fldSimple w:instr=" SEQ Figure \* ARABIC ">
        <w:r w:rsidR="00F90207">
          <w:rPr>
            <w:noProof/>
          </w:rPr>
          <w:t>4</w:t>
        </w:r>
      </w:fldSimple>
      <w:r>
        <w:t xml:space="preserve">: </w:t>
      </w:r>
      <w:r w:rsidRPr="00AD1EE7">
        <w:rPr>
          <w:rFonts w:eastAsia="Calibri"/>
        </w:rPr>
        <w:t xml:space="preserve">Position analysis </w:t>
      </w:r>
    </w:p>
    <w:p w14:paraId="4E37C378" w14:textId="77777777" w:rsidR="00AD1EE7" w:rsidRPr="00AD1EE7" w:rsidRDefault="00AD1EE7" w:rsidP="00EE7D6E">
      <w:pPr>
        <w:spacing w:line="480" w:lineRule="auto"/>
        <w:ind w:firstLine="720"/>
        <w:rPr>
          <w:rFonts w:eastAsia="Calibri"/>
        </w:rPr>
      </w:pPr>
    </w:p>
    <w:p w14:paraId="4C52A145" w14:textId="651653D0" w:rsidR="00AD1EE7" w:rsidRPr="00AD1EE7" w:rsidRDefault="00AD1EE7" w:rsidP="00EE7D6E">
      <w:pPr>
        <w:spacing w:line="480" w:lineRule="auto"/>
        <w:ind w:firstLine="720"/>
        <w:rPr>
          <w:rFonts w:eastAsia="Calibri"/>
        </w:rPr>
      </w:pPr>
      <w:r w:rsidRPr="00AD1EE7">
        <w:rPr>
          <w:rFonts w:eastAsia="Calibri"/>
        </w:rPr>
        <w:lastRenderedPageBreak/>
        <w:drawing>
          <wp:inline distT="0" distB="0" distL="0" distR="0" wp14:anchorId="2FC8F4C0" wp14:editId="5D5D731F">
            <wp:extent cx="4581525" cy="2752725"/>
            <wp:effectExtent l="0" t="0" r="9525" b="9525"/>
            <wp:docPr id="256140487" name="Chart 6">
              <a:extLst xmlns:a="http://schemas.openxmlformats.org/drawingml/2006/main">
                <a:ext uri="{FF2B5EF4-FFF2-40B4-BE49-F238E27FC236}">
                  <a16:creationId xmlns:a16="http://schemas.microsoft.com/office/drawing/2014/main" id="{11AC216A-D9FD-F570-5EC7-8997CD8EAF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01A345" w14:textId="270A9C18" w:rsidR="00AD1EE7" w:rsidRPr="00AD1EE7" w:rsidRDefault="00AD1EE7" w:rsidP="00EE7D6E">
      <w:pPr>
        <w:pStyle w:val="Caption"/>
        <w:spacing w:line="480" w:lineRule="auto"/>
        <w:rPr>
          <w:rFonts w:eastAsia="Calibri"/>
        </w:rPr>
      </w:pPr>
      <w:r>
        <w:t xml:space="preserve">Figure </w:t>
      </w:r>
      <w:fldSimple w:instr=" SEQ Figure \* ARABIC ">
        <w:r w:rsidR="00F90207">
          <w:rPr>
            <w:noProof/>
          </w:rPr>
          <w:t>5</w:t>
        </w:r>
      </w:fldSimple>
      <w:r>
        <w:t xml:space="preserve">: </w:t>
      </w:r>
      <w:r w:rsidRPr="00AD1EE7">
        <w:rPr>
          <w:rFonts w:eastAsia="Calibri"/>
        </w:rPr>
        <w:t xml:space="preserve">Tenure with company </w:t>
      </w:r>
    </w:p>
    <w:p w14:paraId="0549E0F0" w14:textId="6EE14151" w:rsidR="00EE4654" w:rsidRPr="00F475E5" w:rsidRDefault="00AD1EE7" w:rsidP="00EE7D6E">
      <w:pPr>
        <w:spacing w:line="480" w:lineRule="auto"/>
        <w:ind w:firstLine="720"/>
        <w:rPr>
          <w:rFonts w:eastAsia="Calibri"/>
        </w:rPr>
      </w:pPr>
      <w:r w:rsidRPr="00AD1EE7">
        <w:rPr>
          <w:rFonts w:eastAsia="Calibri"/>
        </w:rPr>
        <w:t>As per the study, skewness of job satisfaction is reported as 0.92, which indicates a positive skew and this suggests that more respondents are clustered toward the lower end of the satisfaction scale, with fewer people rating their job satisfaction highly. According to the skewness value of 0.92 implies that the tail on the right side (higher satisfaction) is longer than the left side, meaning that while many employees report moderate to low satisfaction, there are a few highly satisfied individuals (Herzberg, F., 2022).</w:t>
      </w:r>
    </w:p>
    <w:p w14:paraId="7E470D6F" w14:textId="7CEB3131" w:rsidR="00EE4654" w:rsidRPr="00454CAF" w:rsidRDefault="00202586" w:rsidP="00EE7D6E">
      <w:pPr>
        <w:spacing w:line="480" w:lineRule="auto"/>
        <w:jc w:val="center"/>
        <w:rPr>
          <w:rFonts w:eastAsia="Calibri"/>
          <w:b/>
          <w:bCs/>
        </w:rPr>
      </w:pPr>
      <w:r w:rsidRPr="00202586">
        <w:rPr>
          <w:rFonts w:eastAsia="Calibri"/>
          <w:b/>
          <w:bCs/>
        </w:rPr>
        <w:t>PA-730577</w:t>
      </w:r>
    </w:p>
    <w:p w14:paraId="282A9FAF" w14:textId="77777777" w:rsidR="00AD1EE7" w:rsidRPr="00AD1EE7" w:rsidRDefault="00AD1EE7" w:rsidP="00EE7D6E">
      <w:pPr>
        <w:spacing w:line="480" w:lineRule="auto"/>
        <w:ind w:firstLine="720"/>
        <w:rPr>
          <w:rFonts w:eastAsia="Calibri"/>
        </w:rPr>
      </w:pPr>
      <w:r w:rsidRPr="00AD1EE7">
        <w:rPr>
          <w:rFonts w:eastAsia="Calibri"/>
        </w:rPr>
        <w:t xml:space="preserve">Nevertheless, the study also tends to comprise of potential connections between job satisfaction and other factors like intrinsic and extrinsic job satisfaction, as well as organizational commitment, to provide a comprehensive view of how these variables interact in a workplace setting (Herzberg, F., 2024). </w:t>
      </w:r>
    </w:p>
    <w:p w14:paraId="063CBC58" w14:textId="77777777" w:rsidR="00AD1EE7" w:rsidRPr="00AD1EE7" w:rsidRDefault="00AD1EE7" w:rsidP="00EE7D6E">
      <w:pPr>
        <w:spacing w:line="480" w:lineRule="auto"/>
        <w:ind w:firstLine="720"/>
        <w:rPr>
          <w:rFonts w:eastAsia="Calibri"/>
          <w:b/>
          <w:bCs/>
        </w:rPr>
      </w:pPr>
      <w:r w:rsidRPr="00AD1EE7">
        <w:rPr>
          <w:rFonts w:eastAsia="Calibri"/>
          <w:b/>
          <w:bCs/>
        </w:rPr>
        <w:t>Job Satisfaction t-Test</w:t>
      </w:r>
    </w:p>
    <w:p w14:paraId="63121F2F" w14:textId="77777777" w:rsidR="00AD1EE7" w:rsidRPr="00AD1EE7" w:rsidRDefault="00AD1EE7" w:rsidP="00EE7D6E">
      <w:pPr>
        <w:spacing w:line="480" w:lineRule="auto"/>
        <w:ind w:firstLine="720"/>
        <w:rPr>
          <w:rFonts w:eastAsia="Calibri"/>
        </w:rPr>
      </w:pPr>
      <w:r w:rsidRPr="00AD1EE7">
        <w:rPr>
          <w:rFonts w:eastAsia="Calibri"/>
        </w:rPr>
        <w:t>(Null Hypothesis) H0: μ1 – μ2 = 0</w:t>
      </w:r>
      <w:r w:rsidRPr="00AD1EE7">
        <w:rPr>
          <w:rFonts w:eastAsia="Calibri"/>
        </w:rPr>
        <w:br/>
        <w:t>(Alternate Hypothesis) H1: μ1 – μ2 ≠ 0</w:t>
      </w:r>
    </w:p>
    <w:p w14:paraId="49433626" w14:textId="77777777" w:rsidR="00AD1EE7" w:rsidRPr="00AD1EE7" w:rsidRDefault="00AD1EE7" w:rsidP="00EE7D6E">
      <w:pPr>
        <w:spacing w:line="480" w:lineRule="auto"/>
        <w:ind w:firstLine="720"/>
        <w:rPr>
          <w:rFonts w:eastAsia="Calibri"/>
        </w:rPr>
      </w:pPr>
      <w:r w:rsidRPr="00AD1EE7">
        <w:rPr>
          <w:rFonts w:eastAsia="Calibri"/>
        </w:rPr>
        <w:lastRenderedPageBreak/>
        <w:t>H0: Males rate job satisfaction the same as females.</w:t>
      </w:r>
      <w:r w:rsidRPr="00AD1EE7">
        <w:rPr>
          <w:rFonts w:eastAsia="Calibri"/>
        </w:rPr>
        <w:br/>
        <w:t>H1: Males rate job satisfaction differently than females.</w:t>
      </w:r>
    </w:p>
    <w:p w14:paraId="3281351C" w14:textId="77777777" w:rsidR="00AD1EE7" w:rsidRPr="00AD1EE7" w:rsidRDefault="00AD1EE7" w:rsidP="00EE7D6E">
      <w:pPr>
        <w:spacing w:line="480" w:lineRule="auto"/>
        <w:ind w:firstLine="720"/>
        <w:rPr>
          <w:rFonts w:eastAsia="Calibri"/>
          <w:b/>
          <w:bCs/>
        </w:rPr>
      </w:pPr>
    </w:p>
    <w:tbl>
      <w:tblPr>
        <w:tblW w:w="5000" w:type="pct"/>
        <w:tblLook w:val="04A0" w:firstRow="1" w:lastRow="0" w:firstColumn="1" w:lastColumn="0" w:noHBand="0" w:noVBand="1"/>
      </w:tblPr>
      <w:tblGrid>
        <w:gridCol w:w="5778"/>
        <w:gridCol w:w="2036"/>
        <w:gridCol w:w="1762"/>
      </w:tblGrid>
      <w:tr w:rsidR="00AD1EE7" w:rsidRPr="00AD1EE7" w14:paraId="48C968DC" w14:textId="77777777" w:rsidTr="00AD1EE7">
        <w:trPr>
          <w:trHeight w:val="255"/>
        </w:trPr>
        <w:tc>
          <w:tcPr>
            <w:tcW w:w="3017" w:type="pct"/>
            <w:tcBorders>
              <w:top w:val="single" w:sz="4" w:space="0" w:color="auto"/>
              <w:left w:val="single" w:sz="4" w:space="0" w:color="auto"/>
              <w:bottom w:val="single" w:sz="4" w:space="0" w:color="auto"/>
              <w:right w:val="single" w:sz="4" w:space="0" w:color="auto"/>
            </w:tcBorders>
            <w:noWrap/>
            <w:vAlign w:val="bottom"/>
            <w:hideMark/>
          </w:tcPr>
          <w:p w14:paraId="21DF3CD4"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t-Test: Two-Sample Assuming Unequal Variances</w:t>
            </w:r>
          </w:p>
        </w:tc>
        <w:tc>
          <w:tcPr>
            <w:tcW w:w="1063" w:type="pct"/>
            <w:tcBorders>
              <w:top w:val="single" w:sz="4" w:space="0" w:color="auto"/>
              <w:left w:val="nil"/>
              <w:bottom w:val="single" w:sz="4" w:space="0" w:color="auto"/>
              <w:right w:val="single" w:sz="4" w:space="0" w:color="auto"/>
            </w:tcBorders>
            <w:noWrap/>
            <w:vAlign w:val="bottom"/>
            <w:hideMark/>
          </w:tcPr>
          <w:p w14:paraId="0C2D59B3"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 </w:t>
            </w:r>
          </w:p>
        </w:tc>
        <w:tc>
          <w:tcPr>
            <w:tcW w:w="920" w:type="pct"/>
            <w:tcBorders>
              <w:top w:val="single" w:sz="4" w:space="0" w:color="auto"/>
              <w:left w:val="nil"/>
              <w:bottom w:val="single" w:sz="4" w:space="0" w:color="auto"/>
              <w:right w:val="single" w:sz="4" w:space="0" w:color="auto"/>
            </w:tcBorders>
            <w:noWrap/>
            <w:vAlign w:val="bottom"/>
            <w:hideMark/>
          </w:tcPr>
          <w:p w14:paraId="42D6E2D9"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 </w:t>
            </w:r>
          </w:p>
        </w:tc>
      </w:tr>
      <w:tr w:rsidR="00AD1EE7" w:rsidRPr="00AD1EE7" w14:paraId="31514401" w14:textId="77777777" w:rsidTr="00AD1EE7">
        <w:trPr>
          <w:trHeight w:val="255"/>
        </w:trPr>
        <w:tc>
          <w:tcPr>
            <w:tcW w:w="3017" w:type="pct"/>
            <w:tcBorders>
              <w:top w:val="nil"/>
              <w:left w:val="single" w:sz="4" w:space="0" w:color="auto"/>
              <w:bottom w:val="single" w:sz="4" w:space="0" w:color="auto"/>
              <w:right w:val="single" w:sz="4" w:space="0" w:color="auto"/>
            </w:tcBorders>
            <w:noWrap/>
            <w:vAlign w:val="bottom"/>
            <w:hideMark/>
          </w:tcPr>
          <w:p w14:paraId="71C8AB71"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 </w:t>
            </w:r>
          </w:p>
        </w:tc>
        <w:tc>
          <w:tcPr>
            <w:tcW w:w="1063" w:type="pct"/>
            <w:tcBorders>
              <w:top w:val="nil"/>
              <w:left w:val="nil"/>
              <w:bottom w:val="single" w:sz="4" w:space="0" w:color="auto"/>
              <w:right w:val="single" w:sz="4" w:space="0" w:color="auto"/>
            </w:tcBorders>
            <w:noWrap/>
            <w:vAlign w:val="bottom"/>
            <w:hideMark/>
          </w:tcPr>
          <w:p w14:paraId="3A6600FE"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 </w:t>
            </w:r>
          </w:p>
        </w:tc>
        <w:tc>
          <w:tcPr>
            <w:tcW w:w="920" w:type="pct"/>
            <w:tcBorders>
              <w:top w:val="nil"/>
              <w:left w:val="nil"/>
              <w:bottom w:val="single" w:sz="4" w:space="0" w:color="auto"/>
              <w:right w:val="single" w:sz="4" w:space="0" w:color="auto"/>
            </w:tcBorders>
            <w:noWrap/>
            <w:vAlign w:val="bottom"/>
            <w:hideMark/>
          </w:tcPr>
          <w:p w14:paraId="7640DC53"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 </w:t>
            </w:r>
          </w:p>
        </w:tc>
      </w:tr>
      <w:tr w:rsidR="00AD1EE7" w:rsidRPr="00AD1EE7" w14:paraId="7D308778" w14:textId="77777777" w:rsidTr="00AD1EE7">
        <w:trPr>
          <w:trHeight w:val="255"/>
        </w:trPr>
        <w:tc>
          <w:tcPr>
            <w:tcW w:w="3017" w:type="pct"/>
            <w:tcBorders>
              <w:top w:val="nil"/>
              <w:left w:val="single" w:sz="4" w:space="0" w:color="auto"/>
              <w:bottom w:val="single" w:sz="4" w:space="0" w:color="auto"/>
              <w:right w:val="single" w:sz="4" w:space="0" w:color="auto"/>
            </w:tcBorders>
            <w:noWrap/>
            <w:vAlign w:val="bottom"/>
            <w:hideMark/>
          </w:tcPr>
          <w:p w14:paraId="15AAAAEA" w14:textId="77777777" w:rsidR="00AD1EE7" w:rsidRPr="00AD1EE7" w:rsidRDefault="00AD1EE7" w:rsidP="00EE7D6E">
            <w:pPr>
              <w:spacing w:line="480" w:lineRule="auto"/>
              <w:ind w:firstLine="720"/>
              <w:rPr>
                <w:rFonts w:eastAsia="Calibri"/>
                <w:i/>
                <w:iCs/>
                <w:sz w:val="16"/>
                <w:szCs w:val="16"/>
              </w:rPr>
            </w:pPr>
            <w:r w:rsidRPr="00AD1EE7">
              <w:rPr>
                <w:rFonts w:eastAsia="Calibri"/>
                <w:i/>
                <w:iCs/>
                <w:sz w:val="16"/>
                <w:szCs w:val="16"/>
              </w:rPr>
              <w:t> </w:t>
            </w:r>
          </w:p>
        </w:tc>
        <w:tc>
          <w:tcPr>
            <w:tcW w:w="1063" w:type="pct"/>
            <w:tcBorders>
              <w:top w:val="nil"/>
              <w:left w:val="nil"/>
              <w:bottom w:val="single" w:sz="4" w:space="0" w:color="auto"/>
              <w:right w:val="single" w:sz="4" w:space="0" w:color="auto"/>
            </w:tcBorders>
            <w:noWrap/>
            <w:vAlign w:val="bottom"/>
            <w:hideMark/>
          </w:tcPr>
          <w:p w14:paraId="4F6B9099" w14:textId="77777777" w:rsidR="00AD1EE7" w:rsidRPr="00AD1EE7" w:rsidRDefault="00AD1EE7" w:rsidP="00EE7D6E">
            <w:pPr>
              <w:spacing w:line="480" w:lineRule="auto"/>
              <w:ind w:firstLine="720"/>
              <w:rPr>
                <w:rFonts w:eastAsia="Calibri"/>
                <w:i/>
                <w:iCs/>
                <w:sz w:val="16"/>
                <w:szCs w:val="16"/>
              </w:rPr>
            </w:pPr>
            <w:r w:rsidRPr="00AD1EE7">
              <w:rPr>
                <w:rFonts w:eastAsia="Calibri"/>
                <w:i/>
                <w:iCs/>
                <w:sz w:val="16"/>
                <w:szCs w:val="16"/>
              </w:rPr>
              <w:t>Job Satisfaction</w:t>
            </w:r>
          </w:p>
        </w:tc>
        <w:tc>
          <w:tcPr>
            <w:tcW w:w="920" w:type="pct"/>
            <w:tcBorders>
              <w:top w:val="nil"/>
              <w:left w:val="nil"/>
              <w:bottom w:val="single" w:sz="4" w:space="0" w:color="auto"/>
              <w:right w:val="single" w:sz="4" w:space="0" w:color="auto"/>
            </w:tcBorders>
            <w:noWrap/>
            <w:vAlign w:val="bottom"/>
            <w:hideMark/>
          </w:tcPr>
          <w:p w14:paraId="6C972342" w14:textId="77777777" w:rsidR="00AD1EE7" w:rsidRPr="00AD1EE7" w:rsidRDefault="00AD1EE7" w:rsidP="00EE7D6E">
            <w:pPr>
              <w:spacing w:line="480" w:lineRule="auto"/>
              <w:ind w:firstLine="720"/>
              <w:rPr>
                <w:rFonts w:eastAsia="Calibri"/>
                <w:i/>
                <w:iCs/>
                <w:sz w:val="16"/>
                <w:szCs w:val="16"/>
              </w:rPr>
            </w:pPr>
            <w:r w:rsidRPr="00AD1EE7">
              <w:rPr>
                <w:rFonts w:eastAsia="Calibri"/>
                <w:i/>
                <w:iCs/>
                <w:sz w:val="16"/>
                <w:szCs w:val="16"/>
              </w:rPr>
              <w:t>Gender</w:t>
            </w:r>
          </w:p>
        </w:tc>
      </w:tr>
      <w:tr w:rsidR="00AD1EE7" w:rsidRPr="00AD1EE7" w14:paraId="4F3BA919" w14:textId="77777777" w:rsidTr="00AD1EE7">
        <w:trPr>
          <w:trHeight w:val="255"/>
        </w:trPr>
        <w:tc>
          <w:tcPr>
            <w:tcW w:w="3017" w:type="pct"/>
            <w:tcBorders>
              <w:top w:val="nil"/>
              <w:left w:val="single" w:sz="4" w:space="0" w:color="auto"/>
              <w:bottom w:val="single" w:sz="4" w:space="0" w:color="auto"/>
              <w:right w:val="single" w:sz="4" w:space="0" w:color="auto"/>
            </w:tcBorders>
            <w:noWrap/>
            <w:vAlign w:val="bottom"/>
            <w:hideMark/>
          </w:tcPr>
          <w:p w14:paraId="49CA0765"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Mean</w:t>
            </w:r>
          </w:p>
        </w:tc>
        <w:tc>
          <w:tcPr>
            <w:tcW w:w="1063" w:type="pct"/>
            <w:tcBorders>
              <w:top w:val="nil"/>
              <w:left w:val="nil"/>
              <w:bottom w:val="single" w:sz="4" w:space="0" w:color="auto"/>
              <w:right w:val="single" w:sz="4" w:space="0" w:color="auto"/>
            </w:tcBorders>
            <w:noWrap/>
            <w:vAlign w:val="bottom"/>
            <w:hideMark/>
          </w:tcPr>
          <w:p w14:paraId="668A90D2"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3.656766917</w:t>
            </w:r>
          </w:p>
        </w:tc>
        <w:tc>
          <w:tcPr>
            <w:tcW w:w="920" w:type="pct"/>
            <w:tcBorders>
              <w:top w:val="nil"/>
              <w:left w:val="nil"/>
              <w:bottom w:val="single" w:sz="4" w:space="0" w:color="auto"/>
              <w:right w:val="single" w:sz="4" w:space="0" w:color="auto"/>
            </w:tcBorders>
            <w:noWrap/>
            <w:vAlign w:val="bottom"/>
            <w:hideMark/>
          </w:tcPr>
          <w:p w14:paraId="6CE2AE0A"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1.5</w:t>
            </w:r>
          </w:p>
        </w:tc>
      </w:tr>
      <w:tr w:rsidR="00AD1EE7" w:rsidRPr="00AD1EE7" w14:paraId="287A27E2" w14:textId="77777777" w:rsidTr="00AD1EE7">
        <w:trPr>
          <w:trHeight w:val="255"/>
        </w:trPr>
        <w:tc>
          <w:tcPr>
            <w:tcW w:w="3017" w:type="pct"/>
            <w:tcBorders>
              <w:top w:val="nil"/>
              <w:left w:val="single" w:sz="4" w:space="0" w:color="auto"/>
              <w:bottom w:val="single" w:sz="4" w:space="0" w:color="auto"/>
              <w:right w:val="single" w:sz="4" w:space="0" w:color="auto"/>
            </w:tcBorders>
            <w:noWrap/>
            <w:vAlign w:val="bottom"/>
            <w:hideMark/>
          </w:tcPr>
          <w:p w14:paraId="3ED2FA7A"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Variance</w:t>
            </w:r>
          </w:p>
        </w:tc>
        <w:tc>
          <w:tcPr>
            <w:tcW w:w="1063" w:type="pct"/>
            <w:tcBorders>
              <w:top w:val="nil"/>
              <w:left w:val="nil"/>
              <w:bottom w:val="single" w:sz="4" w:space="0" w:color="auto"/>
              <w:right w:val="single" w:sz="4" w:space="0" w:color="auto"/>
            </w:tcBorders>
            <w:noWrap/>
            <w:vAlign w:val="bottom"/>
            <w:hideMark/>
          </w:tcPr>
          <w:p w14:paraId="3EDFDE5B"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0.834538942</w:t>
            </w:r>
          </w:p>
        </w:tc>
        <w:tc>
          <w:tcPr>
            <w:tcW w:w="920" w:type="pct"/>
            <w:tcBorders>
              <w:top w:val="nil"/>
              <w:left w:val="nil"/>
              <w:bottom w:val="single" w:sz="4" w:space="0" w:color="auto"/>
              <w:right w:val="single" w:sz="4" w:space="0" w:color="auto"/>
            </w:tcBorders>
            <w:noWrap/>
            <w:vAlign w:val="bottom"/>
            <w:hideMark/>
          </w:tcPr>
          <w:p w14:paraId="2D622034"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0.250943396</w:t>
            </w:r>
          </w:p>
        </w:tc>
      </w:tr>
      <w:tr w:rsidR="00AD1EE7" w:rsidRPr="00AD1EE7" w14:paraId="62C9C360" w14:textId="77777777" w:rsidTr="00AD1EE7">
        <w:trPr>
          <w:trHeight w:val="255"/>
        </w:trPr>
        <w:tc>
          <w:tcPr>
            <w:tcW w:w="3017" w:type="pct"/>
            <w:tcBorders>
              <w:top w:val="nil"/>
              <w:left w:val="single" w:sz="4" w:space="0" w:color="auto"/>
              <w:bottom w:val="single" w:sz="4" w:space="0" w:color="auto"/>
              <w:right w:val="single" w:sz="4" w:space="0" w:color="auto"/>
            </w:tcBorders>
            <w:noWrap/>
            <w:vAlign w:val="bottom"/>
            <w:hideMark/>
          </w:tcPr>
          <w:p w14:paraId="7158DD65"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Observations</w:t>
            </w:r>
          </w:p>
        </w:tc>
        <w:tc>
          <w:tcPr>
            <w:tcW w:w="1063" w:type="pct"/>
            <w:tcBorders>
              <w:top w:val="nil"/>
              <w:left w:val="nil"/>
              <w:bottom w:val="single" w:sz="4" w:space="0" w:color="auto"/>
              <w:right w:val="single" w:sz="4" w:space="0" w:color="auto"/>
            </w:tcBorders>
            <w:noWrap/>
            <w:vAlign w:val="bottom"/>
            <w:hideMark/>
          </w:tcPr>
          <w:p w14:paraId="793252CA"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266</w:t>
            </w:r>
          </w:p>
        </w:tc>
        <w:tc>
          <w:tcPr>
            <w:tcW w:w="920" w:type="pct"/>
            <w:tcBorders>
              <w:top w:val="nil"/>
              <w:left w:val="nil"/>
              <w:bottom w:val="single" w:sz="4" w:space="0" w:color="auto"/>
              <w:right w:val="single" w:sz="4" w:space="0" w:color="auto"/>
            </w:tcBorders>
            <w:noWrap/>
            <w:vAlign w:val="bottom"/>
            <w:hideMark/>
          </w:tcPr>
          <w:p w14:paraId="1A9F0D31"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266</w:t>
            </w:r>
          </w:p>
        </w:tc>
      </w:tr>
      <w:tr w:rsidR="00AD1EE7" w:rsidRPr="00AD1EE7" w14:paraId="79DEE51A" w14:textId="77777777" w:rsidTr="00AD1EE7">
        <w:trPr>
          <w:trHeight w:val="255"/>
        </w:trPr>
        <w:tc>
          <w:tcPr>
            <w:tcW w:w="3017" w:type="pct"/>
            <w:tcBorders>
              <w:top w:val="nil"/>
              <w:left w:val="single" w:sz="4" w:space="0" w:color="auto"/>
              <w:bottom w:val="single" w:sz="4" w:space="0" w:color="auto"/>
              <w:right w:val="single" w:sz="4" w:space="0" w:color="auto"/>
            </w:tcBorders>
            <w:noWrap/>
            <w:vAlign w:val="bottom"/>
            <w:hideMark/>
          </w:tcPr>
          <w:p w14:paraId="71592B04"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Hypothesized Mean Difference</w:t>
            </w:r>
          </w:p>
        </w:tc>
        <w:tc>
          <w:tcPr>
            <w:tcW w:w="1063" w:type="pct"/>
            <w:tcBorders>
              <w:top w:val="nil"/>
              <w:left w:val="nil"/>
              <w:bottom w:val="single" w:sz="4" w:space="0" w:color="auto"/>
              <w:right w:val="single" w:sz="4" w:space="0" w:color="auto"/>
            </w:tcBorders>
            <w:noWrap/>
            <w:vAlign w:val="bottom"/>
            <w:hideMark/>
          </w:tcPr>
          <w:p w14:paraId="04D41CF0"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0</w:t>
            </w:r>
          </w:p>
        </w:tc>
        <w:tc>
          <w:tcPr>
            <w:tcW w:w="920" w:type="pct"/>
            <w:tcBorders>
              <w:top w:val="nil"/>
              <w:left w:val="nil"/>
              <w:bottom w:val="single" w:sz="4" w:space="0" w:color="auto"/>
              <w:right w:val="single" w:sz="4" w:space="0" w:color="auto"/>
            </w:tcBorders>
            <w:noWrap/>
            <w:vAlign w:val="bottom"/>
            <w:hideMark/>
          </w:tcPr>
          <w:p w14:paraId="5866C6A1"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 </w:t>
            </w:r>
          </w:p>
        </w:tc>
      </w:tr>
      <w:tr w:rsidR="00AD1EE7" w:rsidRPr="00AD1EE7" w14:paraId="348EE42C" w14:textId="77777777" w:rsidTr="00AD1EE7">
        <w:trPr>
          <w:trHeight w:val="255"/>
        </w:trPr>
        <w:tc>
          <w:tcPr>
            <w:tcW w:w="3017" w:type="pct"/>
            <w:tcBorders>
              <w:top w:val="nil"/>
              <w:left w:val="single" w:sz="4" w:space="0" w:color="auto"/>
              <w:bottom w:val="single" w:sz="4" w:space="0" w:color="auto"/>
              <w:right w:val="single" w:sz="4" w:space="0" w:color="auto"/>
            </w:tcBorders>
            <w:noWrap/>
            <w:vAlign w:val="bottom"/>
            <w:hideMark/>
          </w:tcPr>
          <w:p w14:paraId="770815BF" w14:textId="77777777" w:rsidR="00AD1EE7" w:rsidRPr="00AD1EE7" w:rsidRDefault="00AD1EE7" w:rsidP="00EE7D6E">
            <w:pPr>
              <w:spacing w:line="480" w:lineRule="auto"/>
              <w:ind w:firstLine="720"/>
              <w:rPr>
                <w:rFonts w:eastAsia="Calibri"/>
                <w:sz w:val="16"/>
                <w:szCs w:val="16"/>
              </w:rPr>
            </w:pPr>
            <w:proofErr w:type="spellStart"/>
            <w:r w:rsidRPr="00AD1EE7">
              <w:rPr>
                <w:rFonts w:eastAsia="Calibri"/>
                <w:sz w:val="16"/>
                <w:szCs w:val="16"/>
              </w:rPr>
              <w:t>Df</w:t>
            </w:r>
            <w:proofErr w:type="spellEnd"/>
          </w:p>
        </w:tc>
        <w:tc>
          <w:tcPr>
            <w:tcW w:w="1063" w:type="pct"/>
            <w:tcBorders>
              <w:top w:val="nil"/>
              <w:left w:val="nil"/>
              <w:bottom w:val="single" w:sz="4" w:space="0" w:color="auto"/>
              <w:right w:val="single" w:sz="4" w:space="0" w:color="auto"/>
            </w:tcBorders>
            <w:noWrap/>
            <w:vAlign w:val="bottom"/>
            <w:hideMark/>
          </w:tcPr>
          <w:p w14:paraId="0C37319B"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411</w:t>
            </w:r>
          </w:p>
        </w:tc>
        <w:tc>
          <w:tcPr>
            <w:tcW w:w="920" w:type="pct"/>
            <w:tcBorders>
              <w:top w:val="nil"/>
              <w:left w:val="nil"/>
              <w:bottom w:val="single" w:sz="4" w:space="0" w:color="auto"/>
              <w:right w:val="single" w:sz="4" w:space="0" w:color="auto"/>
            </w:tcBorders>
            <w:noWrap/>
            <w:vAlign w:val="bottom"/>
            <w:hideMark/>
          </w:tcPr>
          <w:p w14:paraId="3C76CC78"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 </w:t>
            </w:r>
          </w:p>
        </w:tc>
      </w:tr>
      <w:tr w:rsidR="00AD1EE7" w:rsidRPr="00AD1EE7" w14:paraId="44562B02" w14:textId="77777777" w:rsidTr="00AD1EE7">
        <w:trPr>
          <w:trHeight w:val="255"/>
        </w:trPr>
        <w:tc>
          <w:tcPr>
            <w:tcW w:w="3017" w:type="pct"/>
            <w:tcBorders>
              <w:top w:val="nil"/>
              <w:left w:val="single" w:sz="4" w:space="0" w:color="auto"/>
              <w:bottom w:val="single" w:sz="4" w:space="0" w:color="auto"/>
              <w:right w:val="single" w:sz="4" w:space="0" w:color="auto"/>
            </w:tcBorders>
            <w:noWrap/>
            <w:vAlign w:val="bottom"/>
            <w:hideMark/>
          </w:tcPr>
          <w:p w14:paraId="68D437E2"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t Stat</w:t>
            </w:r>
          </w:p>
        </w:tc>
        <w:tc>
          <w:tcPr>
            <w:tcW w:w="1063" w:type="pct"/>
            <w:tcBorders>
              <w:top w:val="nil"/>
              <w:left w:val="nil"/>
              <w:bottom w:val="single" w:sz="4" w:space="0" w:color="auto"/>
              <w:right w:val="single" w:sz="4" w:space="0" w:color="auto"/>
            </w:tcBorders>
            <w:noWrap/>
            <w:vAlign w:val="bottom"/>
            <w:hideMark/>
          </w:tcPr>
          <w:p w14:paraId="3070D961"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33.76234869</w:t>
            </w:r>
          </w:p>
        </w:tc>
        <w:tc>
          <w:tcPr>
            <w:tcW w:w="920" w:type="pct"/>
            <w:tcBorders>
              <w:top w:val="nil"/>
              <w:left w:val="nil"/>
              <w:bottom w:val="single" w:sz="4" w:space="0" w:color="auto"/>
              <w:right w:val="single" w:sz="4" w:space="0" w:color="auto"/>
            </w:tcBorders>
            <w:noWrap/>
            <w:vAlign w:val="bottom"/>
            <w:hideMark/>
          </w:tcPr>
          <w:p w14:paraId="745036E0"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 </w:t>
            </w:r>
          </w:p>
        </w:tc>
      </w:tr>
      <w:tr w:rsidR="00AD1EE7" w:rsidRPr="00AD1EE7" w14:paraId="269B016D" w14:textId="77777777" w:rsidTr="00AD1EE7">
        <w:trPr>
          <w:trHeight w:val="255"/>
        </w:trPr>
        <w:tc>
          <w:tcPr>
            <w:tcW w:w="3017" w:type="pct"/>
            <w:tcBorders>
              <w:top w:val="nil"/>
              <w:left w:val="single" w:sz="4" w:space="0" w:color="auto"/>
              <w:bottom w:val="single" w:sz="4" w:space="0" w:color="auto"/>
              <w:right w:val="single" w:sz="4" w:space="0" w:color="auto"/>
            </w:tcBorders>
            <w:noWrap/>
            <w:vAlign w:val="bottom"/>
            <w:hideMark/>
          </w:tcPr>
          <w:p w14:paraId="38BCBA7A"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P(T&lt;=t) one-tail</w:t>
            </w:r>
          </w:p>
        </w:tc>
        <w:tc>
          <w:tcPr>
            <w:tcW w:w="1063" w:type="pct"/>
            <w:tcBorders>
              <w:top w:val="nil"/>
              <w:left w:val="nil"/>
              <w:bottom w:val="single" w:sz="4" w:space="0" w:color="auto"/>
              <w:right w:val="single" w:sz="4" w:space="0" w:color="auto"/>
            </w:tcBorders>
            <w:noWrap/>
            <w:vAlign w:val="bottom"/>
            <w:hideMark/>
          </w:tcPr>
          <w:p w14:paraId="3B4AB07D"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6.9175E-121</w:t>
            </w:r>
          </w:p>
        </w:tc>
        <w:tc>
          <w:tcPr>
            <w:tcW w:w="920" w:type="pct"/>
            <w:tcBorders>
              <w:top w:val="nil"/>
              <w:left w:val="nil"/>
              <w:bottom w:val="single" w:sz="4" w:space="0" w:color="auto"/>
              <w:right w:val="single" w:sz="4" w:space="0" w:color="auto"/>
            </w:tcBorders>
            <w:noWrap/>
            <w:vAlign w:val="bottom"/>
            <w:hideMark/>
          </w:tcPr>
          <w:p w14:paraId="3B6180E7"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 </w:t>
            </w:r>
          </w:p>
        </w:tc>
      </w:tr>
      <w:tr w:rsidR="00AD1EE7" w:rsidRPr="00AD1EE7" w14:paraId="5ED428AE" w14:textId="77777777" w:rsidTr="00AD1EE7">
        <w:trPr>
          <w:trHeight w:val="255"/>
        </w:trPr>
        <w:tc>
          <w:tcPr>
            <w:tcW w:w="3017" w:type="pct"/>
            <w:tcBorders>
              <w:top w:val="nil"/>
              <w:left w:val="single" w:sz="4" w:space="0" w:color="auto"/>
              <w:bottom w:val="single" w:sz="4" w:space="0" w:color="auto"/>
              <w:right w:val="single" w:sz="4" w:space="0" w:color="auto"/>
            </w:tcBorders>
            <w:noWrap/>
            <w:vAlign w:val="bottom"/>
            <w:hideMark/>
          </w:tcPr>
          <w:p w14:paraId="23926E78"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t Critical one-tail</w:t>
            </w:r>
          </w:p>
        </w:tc>
        <w:tc>
          <w:tcPr>
            <w:tcW w:w="1063" w:type="pct"/>
            <w:tcBorders>
              <w:top w:val="nil"/>
              <w:left w:val="nil"/>
              <w:bottom w:val="single" w:sz="4" w:space="0" w:color="auto"/>
              <w:right w:val="single" w:sz="4" w:space="0" w:color="auto"/>
            </w:tcBorders>
            <w:noWrap/>
            <w:vAlign w:val="bottom"/>
            <w:hideMark/>
          </w:tcPr>
          <w:p w14:paraId="43A4AA17"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1.648569516</w:t>
            </w:r>
          </w:p>
        </w:tc>
        <w:tc>
          <w:tcPr>
            <w:tcW w:w="920" w:type="pct"/>
            <w:tcBorders>
              <w:top w:val="nil"/>
              <w:left w:val="nil"/>
              <w:bottom w:val="single" w:sz="4" w:space="0" w:color="auto"/>
              <w:right w:val="single" w:sz="4" w:space="0" w:color="auto"/>
            </w:tcBorders>
            <w:noWrap/>
            <w:vAlign w:val="bottom"/>
            <w:hideMark/>
          </w:tcPr>
          <w:p w14:paraId="1F1E0C8C"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 </w:t>
            </w:r>
          </w:p>
        </w:tc>
      </w:tr>
      <w:tr w:rsidR="00AD1EE7" w:rsidRPr="00AD1EE7" w14:paraId="5DCE115A" w14:textId="77777777" w:rsidTr="00AD1EE7">
        <w:trPr>
          <w:trHeight w:val="255"/>
        </w:trPr>
        <w:tc>
          <w:tcPr>
            <w:tcW w:w="3017" w:type="pct"/>
            <w:tcBorders>
              <w:top w:val="nil"/>
              <w:left w:val="single" w:sz="4" w:space="0" w:color="auto"/>
              <w:bottom w:val="single" w:sz="4" w:space="0" w:color="auto"/>
              <w:right w:val="single" w:sz="4" w:space="0" w:color="auto"/>
            </w:tcBorders>
            <w:noWrap/>
            <w:vAlign w:val="bottom"/>
            <w:hideMark/>
          </w:tcPr>
          <w:p w14:paraId="0C29828A"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P(T&lt;=t) two-tail</w:t>
            </w:r>
          </w:p>
        </w:tc>
        <w:tc>
          <w:tcPr>
            <w:tcW w:w="1063" w:type="pct"/>
            <w:tcBorders>
              <w:top w:val="nil"/>
              <w:left w:val="nil"/>
              <w:bottom w:val="single" w:sz="4" w:space="0" w:color="auto"/>
              <w:right w:val="single" w:sz="4" w:space="0" w:color="auto"/>
            </w:tcBorders>
            <w:noWrap/>
            <w:vAlign w:val="bottom"/>
            <w:hideMark/>
          </w:tcPr>
          <w:p w14:paraId="2F81AE1E"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1.3835E-120</w:t>
            </w:r>
          </w:p>
        </w:tc>
        <w:tc>
          <w:tcPr>
            <w:tcW w:w="920" w:type="pct"/>
            <w:tcBorders>
              <w:top w:val="nil"/>
              <w:left w:val="nil"/>
              <w:bottom w:val="single" w:sz="4" w:space="0" w:color="auto"/>
              <w:right w:val="single" w:sz="4" w:space="0" w:color="auto"/>
            </w:tcBorders>
            <w:noWrap/>
            <w:vAlign w:val="bottom"/>
            <w:hideMark/>
          </w:tcPr>
          <w:p w14:paraId="1D018167"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 </w:t>
            </w:r>
          </w:p>
        </w:tc>
      </w:tr>
      <w:tr w:rsidR="00AD1EE7" w:rsidRPr="00AD1EE7" w14:paraId="06FB60A2" w14:textId="77777777" w:rsidTr="00AD1EE7">
        <w:trPr>
          <w:trHeight w:val="255"/>
        </w:trPr>
        <w:tc>
          <w:tcPr>
            <w:tcW w:w="3017" w:type="pct"/>
            <w:tcBorders>
              <w:top w:val="nil"/>
              <w:left w:val="single" w:sz="4" w:space="0" w:color="auto"/>
              <w:bottom w:val="single" w:sz="4" w:space="0" w:color="auto"/>
              <w:right w:val="single" w:sz="4" w:space="0" w:color="auto"/>
            </w:tcBorders>
            <w:noWrap/>
            <w:vAlign w:val="bottom"/>
            <w:hideMark/>
          </w:tcPr>
          <w:p w14:paraId="457C87BB"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t Critical two-tail</w:t>
            </w:r>
          </w:p>
        </w:tc>
        <w:tc>
          <w:tcPr>
            <w:tcW w:w="1063" w:type="pct"/>
            <w:tcBorders>
              <w:top w:val="nil"/>
              <w:left w:val="nil"/>
              <w:bottom w:val="single" w:sz="4" w:space="0" w:color="auto"/>
              <w:right w:val="single" w:sz="4" w:space="0" w:color="auto"/>
            </w:tcBorders>
            <w:noWrap/>
            <w:vAlign w:val="bottom"/>
            <w:hideMark/>
          </w:tcPr>
          <w:p w14:paraId="556FE933"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1.96575268</w:t>
            </w:r>
          </w:p>
        </w:tc>
        <w:tc>
          <w:tcPr>
            <w:tcW w:w="920" w:type="pct"/>
            <w:tcBorders>
              <w:top w:val="nil"/>
              <w:left w:val="nil"/>
              <w:bottom w:val="single" w:sz="4" w:space="0" w:color="auto"/>
              <w:right w:val="single" w:sz="4" w:space="0" w:color="auto"/>
            </w:tcBorders>
            <w:noWrap/>
            <w:vAlign w:val="bottom"/>
            <w:hideMark/>
          </w:tcPr>
          <w:p w14:paraId="41522251" w14:textId="77777777" w:rsidR="00AD1EE7" w:rsidRPr="00AD1EE7" w:rsidRDefault="00AD1EE7" w:rsidP="00EE7D6E">
            <w:pPr>
              <w:spacing w:line="480" w:lineRule="auto"/>
              <w:ind w:firstLine="720"/>
              <w:rPr>
                <w:rFonts w:eastAsia="Calibri"/>
                <w:sz w:val="16"/>
                <w:szCs w:val="16"/>
              </w:rPr>
            </w:pPr>
            <w:r w:rsidRPr="00AD1EE7">
              <w:rPr>
                <w:rFonts w:eastAsia="Calibri"/>
                <w:sz w:val="16"/>
                <w:szCs w:val="16"/>
              </w:rPr>
              <w:t> </w:t>
            </w:r>
          </w:p>
        </w:tc>
      </w:tr>
    </w:tbl>
    <w:p w14:paraId="28B6F999" w14:textId="7C092B44" w:rsidR="00AD1EE7" w:rsidRPr="00AD1EE7" w:rsidRDefault="00AD1EE7" w:rsidP="00EE7D6E">
      <w:pPr>
        <w:pStyle w:val="Caption"/>
        <w:spacing w:line="480" w:lineRule="auto"/>
        <w:rPr>
          <w:rFonts w:eastAsia="Calibri"/>
        </w:rPr>
      </w:pPr>
      <w:r>
        <w:t xml:space="preserve">Table </w:t>
      </w:r>
      <w:fldSimple w:instr=" SEQ Table \* ARABIC ">
        <w:r w:rsidR="00F90207">
          <w:rPr>
            <w:noProof/>
          </w:rPr>
          <w:t>2</w:t>
        </w:r>
      </w:fldSimple>
      <w:r>
        <w:t xml:space="preserve">: </w:t>
      </w:r>
      <w:r w:rsidRPr="00AD1EE7">
        <w:rPr>
          <w:rFonts w:eastAsia="Calibri"/>
        </w:rPr>
        <w:t xml:space="preserve">t-test between job satisfaction and gender </w:t>
      </w:r>
      <w:r w:rsidRPr="00AD1EE7">
        <w:rPr>
          <w:rFonts w:eastAsia="Calibri"/>
        </w:rPr>
        <w:tab/>
      </w:r>
    </w:p>
    <w:p w14:paraId="0E92396D" w14:textId="77777777" w:rsidR="00AD1EE7" w:rsidRPr="00AD1EE7" w:rsidRDefault="00AD1EE7" w:rsidP="00EE7D6E">
      <w:pPr>
        <w:spacing w:line="480" w:lineRule="auto"/>
        <w:ind w:firstLine="720"/>
        <w:rPr>
          <w:rFonts w:eastAsia="Calibri"/>
        </w:rPr>
      </w:pPr>
      <w:r w:rsidRPr="00AD1EE7">
        <w:rPr>
          <w:rFonts w:eastAsia="Calibri"/>
        </w:rPr>
        <w:tab/>
        <w:t>As per the above results which suggested that the two-sample t-test assuming unequal variances was conducted to compare job satisfaction between males and females and on the basis of that the null hypothesis (H₀) posited that there is no difference in job satisfaction between the two genders, while the alternative hypothesis (H₁) suggested that males and females rate job satisfaction differently (Smith, P., &amp; Johnson, A., 2018). So, on the basis of that the analysis yielded a t-statistic of 33.76 with 411 degrees of freedom and the p-value for the two-tailed test was found to be less than 0.0001, which is well below the significance level of α = 0.05.</w:t>
      </w:r>
    </w:p>
    <w:p w14:paraId="06DB48A6" w14:textId="0E117991" w:rsidR="00EE4654" w:rsidRPr="00F475E5" w:rsidRDefault="00EE4654" w:rsidP="00EE7D6E">
      <w:pPr>
        <w:spacing w:line="480" w:lineRule="auto"/>
        <w:ind w:firstLine="720"/>
        <w:rPr>
          <w:rFonts w:eastAsia="Calibri"/>
        </w:rPr>
      </w:pPr>
    </w:p>
    <w:p w14:paraId="0C5FCFEF" w14:textId="2C21F266" w:rsidR="00EE4654" w:rsidRPr="00454CAF" w:rsidRDefault="00202586" w:rsidP="00EE7D6E">
      <w:pPr>
        <w:spacing w:line="480" w:lineRule="auto"/>
        <w:jc w:val="center"/>
        <w:rPr>
          <w:rFonts w:eastAsia="Calibri"/>
          <w:b/>
          <w:bCs/>
        </w:rPr>
      </w:pPr>
      <w:r w:rsidRPr="00202586">
        <w:rPr>
          <w:rFonts w:eastAsia="Calibri"/>
          <w:b/>
          <w:bCs/>
        </w:rPr>
        <w:t>PA-731898</w:t>
      </w:r>
    </w:p>
    <w:p w14:paraId="01C51D83" w14:textId="77777777" w:rsidR="00F90207" w:rsidRPr="00F90207" w:rsidRDefault="00F90207" w:rsidP="00EE7D6E">
      <w:pPr>
        <w:spacing w:line="480" w:lineRule="auto"/>
        <w:ind w:firstLine="720"/>
        <w:rPr>
          <w:rFonts w:eastAsia="Calibri"/>
        </w:rPr>
      </w:pPr>
      <w:r w:rsidRPr="00F90207">
        <w:rPr>
          <w:rFonts w:eastAsia="Calibri"/>
        </w:rPr>
        <w:lastRenderedPageBreak/>
        <w:t>Nevertheless, it also tends to comprise of implications of the results for management providing insights into how demographic factors could impact business decisions and workplace practices and on the basis of that the findings will be linked to industry research, with particular attention to studies that explore the connection between demographic characteristics and survey responses (</w:t>
      </w:r>
      <w:proofErr w:type="spellStart"/>
      <w:r w:rsidRPr="00F90207">
        <w:rPr>
          <w:rFonts w:eastAsia="Calibri"/>
        </w:rPr>
        <w:t>Chordiya</w:t>
      </w:r>
      <w:proofErr w:type="spellEnd"/>
      <w:r w:rsidRPr="00F90207">
        <w:rPr>
          <w:rFonts w:eastAsia="Calibri"/>
        </w:rPr>
        <w:t xml:space="preserve">, R., 2019). </w:t>
      </w:r>
    </w:p>
    <w:p w14:paraId="0209C8CA" w14:textId="77777777" w:rsidR="00F90207" w:rsidRPr="00F90207" w:rsidRDefault="00F90207" w:rsidP="00EE7D6E">
      <w:pPr>
        <w:spacing w:line="480" w:lineRule="auto"/>
        <w:ind w:firstLine="720"/>
        <w:rPr>
          <w:rFonts w:eastAsia="Calibri"/>
        </w:rPr>
      </w:pPr>
    </w:p>
    <w:p w14:paraId="4C68A894" w14:textId="77777777" w:rsidR="00F90207" w:rsidRPr="00F90207" w:rsidRDefault="00F90207" w:rsidP="00EE7D6E">
      <w:pPr>
        <w:spacing w:line="480" w:lineRule="auto"/>
        <w:ind w:firstLine="720"/>
        <w:rPr>
          <w:rFonts w:eastAsia="Calibri"/>
          <w:b/>
          <w:bCs/>
        </w:rPr>
      </w:pPr>
      <w:r w:rsidRPr="00F90207">
        <w:rPr>
          <w:rFonts w:eastAsia="Calibri"/>
          <w:b/>
          <w:bCs/>
        </w:rPr>
        <w:t>ANOVA 1</w:t>
      </w:r>
    </w:p>
    <w:p w14:paraId="66181345" w14:textId="77777777" w:rsidR="00F90207" w:rsidRPr="00F90207" w:rsidRDefault="00F90207" w:rsidP="00EE7D6E">
      <w:pPr>
        <w:spacing w:line="480" w:lineRule="auto"/>
        <w:ind w:firstLine="720"/>
        <w:rPr>
          <w:rFonts w:eastAsia="Calibri"/>
        </w:rPr>
      </w:pPr>
    </w:p>
    <w:p w14:paraId="44A82AA3" w14:textId="45DCF728" w:rsidR="00F90207" w:rsidRPr="00F90207" w:rsidRDefault="00F90207" w:rsidP="00EE7D6E">
      <w:pPr>
        <w:spacing w:line="480" w:lineRule="auto"/>
        <w:ind w:firstLine="720"/>
        <w:rPr>
          <w:rFonts w:eastAsia="Calibri"/>
        </w:rPr>
      </w:pPr>
      <w:r w:rsidRPr="00F90207">
        <w:rPr>
          <w:rFonts w:eastAsia="Calibri"/>
        </w:rPr>
        <w:drawing>
          <wp:inline distT="0" distB="0" distL="0" distR="0" wp14:anchorId="4162AE4A" wp14:editId="68F2CE30">
            <wp:extent cx="4581525" cy="2752725"/>
            <wp:effectExtent l="0" t="0" r="9525" b="9525"/>
            <wp:docPr id="46477116" name="Chart 12">
              <a:extLst xmlns:a="http://schemas.openxmlformats.org/drawingml/2006/main">
                <a:ext uri="{FF2B5EF4-FFF2-40B4-BE49-F238E27FC236}">
                  <a16:creationId xmlns:a16="http://schemas.microsoft.com/office/drawing/2014/main" id="{A16EC607-FE73-DF4C-E484-C4484C270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7890A0" w14:textId="09232051" w:rsidR="00F90207" w:rsidRPr="00F90207" w:rsidRDefault="00F90207" w:rsidP="00EE7D6E">
      <w:pPr>
        <w:pStyle w:val="Caption"/>
        <w:spacing w:line="480" w:lineRule="auto"/>
        <w:rPr>
          <w:rFonts w:eastAsia="Calibri"/>
        </w:rPr>
      </w:pPr>
      <w:r>
        <w:t xml:space="preserve">Figure </w:t>
      </w:r>
      <w:fldSimple w:instr=" SEQ Figure \* ARABIC ">
        <w:r>
          <w:rPr>
            <w:noProof/>
          </w:rPr>
          <w:t>6</w:t>
        </w:r>
      </w:fldSimple>
      <w:r>
        <w:t xml:space="preserve">: </w:t>
      </w:r>
      <w:r w:rsidRPr="00F90207">
        <w:rPr>
          <w:rFonts w:eastAsia="Calibri"/>
        </w:rPr>
        <w:t xml:space="preserve">pivot chart between age and department </w:t>
      </w:r>
    </w:p>
    <w:p w14:paraId="665102B2" w14:textId="77777777" w:rsidR="00F90207" w:rsidRPr="00F90207" w:rsidRDefault="00F90207" w:rsidP="00EE7D6E">
      <w:pPr>
        <w:spacing w:line="480" w:lineRule="auto"/>
        <w:ind w:firstLine="720"/>
        <w:rPr>
          <w:rFonts w:eastAsia="Calibri"/>
        </w:rPr>
      </w:pPr>
      <w:r w:rsidRPr="00F90207">
        <w:rPr>
          <w:rFonts w:eastAsia="Calibri"/>
        </w:rPr>
        <w:tab/>
        <w:t>According to these findings, which tends to be very crucial for understanding how demographic differences, such as age and departmental affiliation, may influence survey responses.</w:t>
      </w:r>
    </w:p>
    <w:p w14:paraId="4CE145D3" w14:textId="77777777" w:rsidR="00F90207" w:rsidRPr="00F90207" w:rsidRDefault="00F90207" w:rsidP="00EE7D6E">
      <w:pPr>
        <w:spacing w:line="480" w:lineRule="auto"/>
        <w:ind w:firstLine="720"/>
        <w:rPr>
          <w:rFonts w:eastAsia="Calibri"/>
        </w:rPr>
      </w:pPr>
      <w:r w:rsidRPr="00F90207">
        <w:rPr>
          <w:rFonts w:eastAsia="Calibri"/>
        </w:rPr>
        <w:t>(Null Hypothesis) H0: There is no difference in age and department Survey Measure by Demographic.</w:t>
      </w:r>
      <w:r w:rsidRPr="00F90207">
        <w:rPr>
          <w:rFonts w:eastAsia="Calibri"/>
        </w:rPr>
        <w:br/>
      </w:r>
      <w:r w:rsidRPr="00F90207">
        <w:rPr>
          <w:rFonts w:eastAsia="Calibri"/>
        </w:rPr>
        <w:lastRenderedPageBreak/>
        <w:t>(Alternate Hypothesis) H1: There is a difference in age and department Survey Measure by Demographic.</w:t>
      </w:r>
    </w:p>
    <w:tbl>
      <w:tblPr>
        <w:tblW w:w="5000" w:type="pct"/>
        <w:tblLook w:val="04A0" w:firstRow="1" w:lastRow="0" w:firstColumn="1" w:lastColumn="0" w:noHBand="0" w:noVBand="1"/>
      </w:tblPr>
      <w:tblGrid>
        <w:gridCol w:w="2106"/>
        <w:gridCol w:w="1375"/>
        <w:gridCol w:w="598"/>
        <w:gridCol w:w="1377"/>
        <w:gridCol w:w="1377"/>
        <w:gridCol w:w="1366"/>
        <w:gridCol w:w="1377"/>
      </w:tblGrid>
      <w:tr w:rsidR="00F90207" w:rsidRPr="00F90207" w14:paraId="6FF08B92" w14:textId="77777777" w:rsidTr="00F90207">
        <w:trPr>
          <w:trHeight w:val="255"/>
        </w:trPr>
        <w:tc>
          <w:tcPr>
            <w:tcW w:w="1100" w:type="pct"/>
            <w:tcBorders>
              <w:top w:val="single" w:sz="4" w:space="0" w:color="auto"/>
              <w:left w:val="single" w:sz="4" w:space="0" w:color="auto"/>
              <w:bottom w:val="single" w:sz="4" w:space="0" w:color="auto"/>
              <w:right w:val="single" w:sz="4" w:space="0" w:color="auto"/>
            </w:tcBorders>
            <w:noWrap/>
            <w:vAlign w:val="bottom"/>
            <w:hideMark/>
          </w:tcPr>
          <w:p w14:paraId="7940945A"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Anova: Single Factor</w:t>
            </w:r>
          </w:p>
        </w:tc>
        <w:tc>
          <w:tcPr>
            <w:tcW w:w="718" w:type="pct"/>
            <w:tcBorders>
              <w:top w:val="single" w:sz="4" w:space="0" w:color="auto"/>
              <w:left w:val="nil"/>
              <w:bottom w:val="single" w:sz="4" w:space="0" w:color="auto"/>
              <w:right w:val="single" w:sz="4" w:space="0" w:color="auto"/>
            </w:tcBorders>
            <w:noWrap/>
            <w:vAlign w:val="bottom"/>
            <w:hideMark/>
          </w:tcPr>
          <w:p w14:paraId="3D8845B2"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312" w:type="pct"/>
            <w:tcBorders>
              <w:top w:val="single" w:sz="4" w:space="0" w:color="auto"/>
              <w:left w:val="nil"/>
              <w:bottom w:val="single" w:sz="4" w:space="0" w:color="auto"/>
              <w:right w:val="single" w:sz="4" w:space="0" w:color="auto"/>
            </w:tcBorders>
            <w:noWrap/>
            <w:vAlign w:val="bottom"/>
            <w:hideMark/>
          </w:tcPr>
          <w:p w14:paraId="2FE68107"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single" w:sz="4" w:space="0" w:color="auto"/>
              <w:left w:val="nil"/>
              <w:bottom w:val="single" w:sz="4" w:space="0" w:color="auto"/>
              <w:right w:val="single" w:sz="4" w:space="0" w:color="auto"/>
            </w:tcBorders>
            <w:noWrap/>
            <w:vAlign w:val="bottom"/>
            <w:hideMark/>
          </w:tcPr>
          <w:p w14:paraId="38F0A855"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single" w:sz="4" w:space="0" w:color="auto"/>
              <w:left w:val="nil"/>
              <w:bottom w:val="single" w:sz="4" w:space="0" w:color="auto"/>
              <w:right w:val="single" w:sz="4" w:space="0" w:color="auto"/>
            </w:tcBorders>
            <w:noWrap/>
            <w:vAlign w:val="bottom"/>
            <w:hideMark/>
          </w:tcPr>
          <w:p w14:paraId="0376A6F7"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3" w:type="pct"/>
            <w:tcBorders>
              <w:top w:val="single" w:sz="4" w:space="0" w:color="auto"/>
              <w:left w:val="nil"/>
              <w:bottom w:val="single" w:sz="4" w:space="0" w:color="auto"/>
              <w:right w:val="single" w:sz="4" w:space="0" w:color="auto"/>
            </w:tcBorders>
            <w:noWrap/>
            <w:vAlign w:val="bottom"/>
            <w:hideMark/>
          </w:tcPr>
          <w:p w14:paraId="79EFFC49"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single" w:sz="4" w:space="0" w:color="auto"/>
              <w:left w:val="nil"/>
              <w:bottom w:val="single" w:sz="4" w:space="0" w:color="auto"/>
              <w:right w:val="single" w:sz="4" w:space="0" w:color="auto"/>
            </w:tcBorders>
            <w:noWrap/>
            <w:vAlign w:val="bottom"/>
            <w:hideMark/>
          </w:tcPr>
          <w:p w14:paraId="06AE8352"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r>
      <w:tr w:rsidR="00F90207" w:rsidRPr="00F90207" w14:paraId="4D8D05DB"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7A275560"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8" w:type="pct"/>
            <w:tcBorders>
              <w:top w:val="nil"/>
              <w:left w:val="nil"/>
              <w:bottom w:val="single" w:sz="4" w:space="0" w:color="auto"/>
              <w:right w:val="single" w:sz="4" w:space="0" w:color="auto"/>
            </w:tcBorders>
            <w:noWrap/>
            <w:vAlign w:val="bottom"/>
            <w:hideMark/>
          </w:tcPr>
          <w:p w14:paraId="52032F19"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312" w:type="pct"/>
            <w:tcBorders>
              <w:top w:val="nil"/>
              <w:left w:val="nil"/>
              <w:bottom w:val="single" w:sz="4" w:space="0" w:color="auto"/>
              <w:right w:val="single" w:sz="4" w:space="0" w:color="auto"/>
            </w:tcBorders>
            <w:noWrap/>
            <w:vAlign w:val="bottom"/>
            <w:hideMark/>
          </w:tcPr>
          <w:p w14:paraId="5F32A939"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3592D310"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5CB7E11B"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3" w:type="pct"/>
            <w:tcBorders>
              <w:top w:val="nil"/>
              <w:left w:val="nil"/>
              <w:bottom w:val="single" w:sz="4" w:space="0" w:color="auto"/>
              <w:right w:val="single" w:sz="4" w:space="0" w:color="auto"/>
            </w:tcBorders>
            <w:noWrap/>
            <w:vAlign w:val="bottom"/>
            <w:hideMark/>
          </w:tcPr>
          <w:p w14:paraId="1543AFEA"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60C05516"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r>
      <w:tr w:rsidR="00F90207" w:rsidRPr="00F90207" w14:paraId="29C24495"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36268CBC"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SUMMARY</w:t>
            </w:r>
          </w:p>
        </w:tc>
        <w:tc>
          <w:tcPr>
            <w:tcW w:w="718" w:type="pct"/>
            <w:tcBorders>
              <w:top w:val="nil"/>
              <w:left w:val="nil"/>
              <w:bottom w:val="single" w:sz="4" w:space="0" w:color="auto"/>
              <w:right w:val="single" w:sz="4" w:space="0" w:color="auto"/>
            </w:tcBorders>
            <w:noWrap/>
            <w:vAlign w:val="bottom"/>
            <w:hideMark/>
          </w:tcPr>
          <w:p w14:paraId="7FF1CA88"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312" w:type="pct"/>
            <w:tcBorders>
              <w:top w:val="nil"/>
              <w:left w:val="nil"/>
              <w:bottom w:val="single" w:sz="4" w:space="0" w:color="auto"/>
              <w:right w:val="single" w:sz="4" w:space="0" w:color="auto"/>
            </w:tcBorders>
            <w:noWrap/>
            <w:vAlign w:val="bottom"/>
            <w:hideMark/>
          </w:tcPr>
          <w:p w14:paraId="79F3B31F"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152BA5E0"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46872E5C"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3" w:type="pct"/>
            <w:tcBorders>
              <w:top w:val="nil"/>
              <w:left w:val="nil"/>
              <w:bottom w:val="single" w:sz="4" w:space="0" w:color="auto"/>
              <w:right w:val="single" w:sz="4" w:space="0" w:color="auto"/>
            </w:tcBorders>
            <w:noWrap/>
            <w:vAlign w:val="bottom"/>
            <w:hideMark/>
          </w:tcPr>
          <w:p w14:paraId="4B0A4ACD"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64E469F8"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r>
      <w:tr w:rsidR="00F90207" w:rsidRPr="00F90207" w14:paraId="4DB425DF"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1CCDDAC7" w14:textId="77777777" w:rsidR="00F90207" w:rsidRPr="00F90207" w:rsidRDefault="00F90207" w:rsidP="00EE7D6E">
            <w:pPr>
              <w:spacing w:line="480" w:lineRule="auto"/>
              <w:ind w:firstLine="720"/>
              <w:rPr>
                <w:rFonts w:eastAsia="Calibri"/>
                <w:i/>
                <w:iCs/>
                <w:sz w:val="16"/>
                <w:szCs w:val="16"/>
              </w:rPr>
            </w:pPr>
            <w:r w:rsidRPr="00F90207">
              <w:rPr>
                <w:rFonts w:eastAsia="Calibri"/>
                <w:i/>
                <w:iCs/>
                <w:sz w:val="16"/>
                <w:szCs w:val="16"/>
              </w:rPr>
              <w:t>Groups</w:t>
            </w:r>
          </w:p>
        </w:tc>
        <w:tc>
          <w:tcPr>
            <w:tcW w:w="718" w:type="pct"/>
            <w:tcBorders>
              <w:top w:val="nil"/>
              <w:left w:val="nil"/>
              <w:bottom w:val="single" w:sz="4" w:space="0" w:color="auto"/>
              <w:right w:val="single" w:sz="4" w:space="0" w:color="auto"/>
            </w:tcBorders>
            <w:noWrap/>
            <w:vAlign w:val="bottom"/>
            <w:hideMark/>
          </w:tcPr>
          <w:p w14:paraId="204EC52F" w14:textId="77777777" w:rsidR="00F90207" w:rsidRPr="00F90207" w:rsidRDefault="00F90207" w:rsidP="00EE7D6E">
            <w:pPr>
              <w:spacing w:line="480" w:lineRule="auto"/>
              <w:ind w:firstLine="720"/>
              <w:rPr>
                <w:rFonts w:eastAsia="Calibri"/>
                <w:i/>
                <w:iCs/>
                <w:sz w:val="16"/>
                <w:szCs w:val="16"/>
              </w:rPr>
            </w:pPr>
            <w:r w:rsidRPr="00F90207">
              <w:rPr>
                <w:rFonts w:eastAsia="Calibri"/>
                <w:i/>
                <w:iCs/>
                <w:sz w:val="16"/>
                <w:szCs w:val="16"/>
              </w:rPr>
              <w:t>Count</w:t>
            </w:r>
          </w:p>
        </w:tc>
        <w:tc>
          <w:tcPr>
            <w:tcW w:w="312" w:type="pct"/>
            <w:tcBorders>
              <w:top w:val="nil"/>
              <w:left w:val="nil"/>
              <w:bottom w:val="single" w:sz="4" w:space="0" w:color="auto"/>
              <w:right w:val="single" w:sz="4" w:space="0" w:color="auto"/>
            </w:tcBorders>
            <w:noWrap/>
            <w:vAlign w:val="bottom"/>
            <w:hideMark/>
          </w:tcPr>
          <w:p w14:paraId="08EF5B18" w14:textId="77777777" w:rsidR="00F90207" w:rsidRPr="00F90207" w:rsidRDefault="00F90207" w:rsidP="00EE7D6E">
            <w:pPr>
              <w:spacing w:line="480" w:lineRule="auto"/>
              <w:ind w:firstLine="720"/>
              <w:rPr>
                <w:rFonts w:eastAsia="Calibri"/>
                <w:i/>
                <w:iCs/>
                <w:sz w:val="16"/>
                <w:szCs w:val="16"/>
              </w:rPr>
            </w:pPr>
            <w:r w:rsidRPr="00F90207">
              <w:rPr>
                <w:rFonts w:eastAsia="Calibri"/>
                <w:i/>
                <w:iCs/>
                <w:sz w:val="16"/>
                <w:szCs w:val="16"/>
              </w:rPr>
              <w:t>Sum</w:t>
            </w:r>
          </w:p>
        </w:tc>
        <w:tc>
          <w:tcPr>
            <w:tcW w:w="719" w:type="pct"/>
            <w:tcBorders>
              <w:top w:val="nil"/>
              <w:left w:val="nil"/>
              <w:bottom w:val="single" w:sz="4" w:space="0" w:color="auto"/>
              <w:right w:val="single" w:sz="4" w:space="0" w:color="auto"/>
            </w:tcBorders>
            <w:noWrap/>
            <w:vAlign w:val="bottom"/>
            <w:hideMark/>
          </w:tcPr>
          <w:p w14:paraId="618651FA" w14:textId="77777777" w:rsidR="00F90207" w:rsidRPr="00F90207" w:rsidRDefault="00F90207" w:rsidP="00EE7D6E">
            <w:pPr>
              <w:spacing w:line="480" w:lineRule="auto"/>
              <w:ind w:firstLine="720"/>
              <w:rPr>
                <w:rFonts w:eastAsia="Calibri"/>
                <w:i/>
                <w:iCs/>
                <w:sz w:val="16"/>
                <w:szCs w:val="16"/>
              </w:rPr>
            </w:pPr>
            <w:r w:rsidRPr="00F90207">
              <w:rPr>
                <w:rFonts w:eastAsia="Calibri"/>
                <w:i/>
                <w:iCs/>
                <w:sz w:val="16"/>
                <w:szCs w:val="16"/>
              </w:rPr>
              <w:t>Average</w:t>
            </w:r>
          </w:p>
        </w:tc>
        <w:tc>
          <w:tcPr>
            <w:tcW w:w="719" w:type="pct"/>
            <w:tcBorders>
              <w:top w:val="nil"/>
              <w:left w:val="nil"/>
              <w:bottom w:val="single" w:sz="4" w:space="0" w:color="auto"/>
              <w:right w:val="single" w:sz="4" w:space="0" w:color="auto"/>
            </w:tcBorders>
            <w:noWrap/>
            <w:vAlign w:val="bottom"/>
            <w:hideMark/>
          </w:tcPr>
          <w:p w14:paraId="7903CEBD" w14:textId="77777777" w:rsidR="00F90207" w:rsidRPr="00F90207" w:rsidRDefault="00F90207" w:rsidP="00EE7D6E">
            <w:pPr>
              <w:spacing w:line="480" w:lineRule="auto"/>
              <w:ind w:firstLine="720"/>
              <w:rPr>
                <w:rFonts w:eastAsia="Calibri"/>
                <w:i/>
                <w:iCs/>
                <w:sz w:val="16"/>
                <w:szCs w:val="16"/>
              </w:rPr>
            </w:pPr>
            <w:r w:rsidRPr="00F90207">
              <w:rPr>
                <w:rFonts w:eastAsia="Calibri"/>
                <w:i/>
                <w:iCs/>
                <w:sz w:val="16"/>
                <w:szCs w:val="16"/>
              </w:rPr>
              <w:t>Variance</w:t>
            </w:r>
          </w:p>
        </w:tc>
        <w:tc>
          <w:tcPr>
            <w:tcW w:w="713" w:type="pct"/>
            <w:tcBorders>
              <w:top w:val="nil"/>
              <w:left w:val="nil"/>
              <w:bottom w:val="single" w:sz="4" w:space="0" w:color="auto"/>
              <w:right w:val="single" w:sz="4" w:space="0" w:color="auto"/>
            </w:tcBorders>
            <w:noWrap/>
            <w:vAlign w:val="bottom"/>
            <w:hideMark/>
          </w:tcPr>
          <w:p w14:paraId="221F3095"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21978ACA"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r>
      <w:tr w:rsidR="00F90207" w:rsidRPr="00F90207" w14:paraId="416E146F"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131DC896"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Age</w:t>
            </w:r>
          </w:p>
        </w:tc>
        <w:tc>
          <w:tcPr>
            <w:tcW w:w="718" w:type="pct"/>
            <w:tcBorders>
              <w:top w:val="nil"/>
              <w:left w:val="nil"/>
              <w:bottom w:val="single" w:sz="4" w:space="0" w:color="auto"/>
              <w:right w:val="single" w:sz="4" w:space="0" w:color="auto"/>
            </w:tcBorders>
            <w:noWrap/>
            <w:vAlign w:val="bottom"/>
            <w:hideMark/>
          </w:tcPr>
          <w:p w14:paraId="78A4DD88"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266</w:t>
            </w:r>
          </w:p>
        </w:tc>
        <w:tc>
          <w:tcPr>
            <w:tcW w:w="312" w:type="pct"/>
            <w:tcBorders>
              <w:top w:val="nil"/>
              <w:left w:val="nil"/>
              <w:bottom w:val="single" w:sz="4" w:space="0" w:color="auto"/>
              <w:right w:val="single" w:sz="4" w:space="0" w:color="auto"/>
            </w:tcBorders>
            <w:noWrap/>
            <w:vAlign w:val="bottom"/>
            <w:hideMark/>
          </w:tcPr>
          <w:p w14:paraId="67D3AFB4"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542</w:t>
            </w:r>
          </w:p>
        </w:tc>
        <w:tc>
          <w:tcPr>
            <w:tcW w:w="719" w:type="pct"/>
            <w:tcBorders>
              <w:top w:val="nil"/>
              <w:left w:val="nil"/>
              <w:bottom w:val="single" w:sz="4" w:space="0" w:color="auto"/>
              <w:right w:val="single" w:sz="4" w:space="0" w:color="auto"/>
            </w:tcBorders>
            <w:noWrap/>
            <w:vAlign w:val="bottom"/>
            <w:hideMark/>
          </w:tcPr>
          <w:p w14:paraId="3F086BA0"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2.037593985</w:t>
            </w:r>
          </w:p>
        </w:tc>
        <w:tc>
          <w:tcPr>
            <w:tcW w:w="719" w:type="pct"/>
            <w:tcBorders>
              <w:top w:val="nil"/>
              <w:left w:val="nil"/>
              <w:bottom w:val="single" w:sz="4" w:space="0" w:color="auto"/>
              <w:right w:val="single" w:sz="4" w:space="0" w:color="auto"/>
            </w:tcBorders>
            <w:noWrap/>
            <w:vAlign w:val="bottom"/>
            <w:hideMark/>
          </w:tcPr>
          <w:p w14:paraId="4115ADCB"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0.821222868</w:t>
            </w:r>
          </w:p>
        </w:tc>
        <w:tc>
          <w:tcPr>
            <w:tcW w:w="713" w:type="pct"/>
            <w:tcBorders>
              <w:top w:val="nil"/>
              <w:left w:val="nil"/>
              <w:bottom w:val="single" w:sz="4" w:space="0" w:color="auto"/>
              <w:right w:val="single" w:sz="4" w:space="0" w:color="auto"/>
            </w:tcBorders>
            <w:noWrap/>
            <w:vAlign w:val="bottom"/>
            <w:hideMark/>
          </w:tcPr>
          <w:p w14:paraId="77B92853"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154CE15B"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r>
      <w:tr w:rsidR="00F90207" w:rsidRPr="00F90207" w14:paraId="7ABC6B28"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3712BEE4"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Department</w:t>
            </w:r>
          </w:p>
        </w:tc>
        <w:tc>
          <w:tcPr>
            <w:tcW w:w="718" w:type="pct"/>
            <w:tcBorders>
              <w:top w:val="nil"/>
              <w:left w:val="nil"/>
              <w:bottom w:val="single" w:sz="4" w:space="0" w:color="auto"/>
              <w:right w:val="single" w:sz="4" w:space="0" w:color="auto"/>
            </w:tcBorders>
            <w:noWrap/>
            <w:vAlign w:val="bottom"/>
            <w:hideMark/>
          </w:tcPr>
          <w:p w14:paraId="6531FF20"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266</w:t>
            </w:r>
          </w:p>
        </w:tc>
        <w:tc>
          <w:tcPr>
            <w:tcW w:w="312" w:type="pct"/>
            <w:tcBorders>
              <w:top w:val="nil"/>
              <w:left w:val="nil"/>
              <w:bottom w:val="single" w:sz="4" w:space="0" w:color="auto"/>
              <w:right w:val="single" w:sz="4" w:space="0" w:color="auto"/>
            </w:tcBorders>
            <w:noWrap/>
            <w:vAlign w:val="bottom"/>
            <w:hideMark/>
          </w:tcPr>
          <w:p w14:paraId="4A1567B5"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466</w:t>
            </w:r>
          </w:p>
        </w:tc>
        <w:tc>
          <w:tcPr>
            <w:tcW w:w="719" w:type="pct"/>
            <w:tcBorders>
              <w:top w:val="nil"/>
              <w:left w:val="nil"/>
              <w:bottom w:val="single" w:sz="4" w:space="0" w:color="auto"/>
              <w:right w:val="single" w:sz="4" w:space="0" w:color="auto"/>
            </w:tcBorders>
            <w:noWrap/>
            <w:vAlign w:val="bottom"/>
            <w:hideMark/>
          </w:tcPr>
          <w:p w14:paraId="323878F9"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1.751879699</w:t>
            </w:r>
          </w:p>
        </w:tc>
        <w:tc>
          <w:tcPr>
            <w:tcW w:w="719" w:type="pct"/>
            <w:tcBorders>
              <w:top w:val="nil"/>
              <w:left w:val="nil"/>
              <w:bottom w:val="single" w:sz="4" w:space="0" w:color="auto"/>
              <w:right w:val="single" w:sz="4" w:space="0" w:color="auto"/>
            </w:tcBorders>
            <w:noWrap/>
            <w:vAlign w:val="bottom"/>
            <w:hideMark/>
          </w:tcPr>
          <w:p w14:paraId="3B85C9B7"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0.406128529</w:t>
            </w:r>
          </w:p>
        </w:tc>
        <w:tc>
          <w:tcPr>
            <w:tcW w:w="713" w:type="pct"/>
            <w:tcBorders>
              <w:top w:val="nil"/>
              <w:left w:val="nil"/>
              <w:bottom w:val="single" w:sz="4" w:space="0" w:color="auto"/>
              <w:right w:val="single" w:sz="4" w:space="0" w:color="auto"/>
            </w:tcBorders>
            <w:noWrap/>
            <w:vAlign w:val="bottom"/>
            <w:hideMark/>
          </w:tcPr>
          <w:p w14:paraId="1698427B"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6A3B29B8"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r>
      <w:tr w:rsidR="00F90207" w:rsidRPr="00F90207" w14:paraId="6BCA5EEC"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2967CC47"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8" w:type="pct"/>
            <w:tcBorders>
              <w:top w:val="nil"/>
              <w:left w:val="nil"/>
              <w:bottom w:val="single" w:sz="4" w:space="0" w:color="auto"/>
              <w:right w:val="single" w:sz="4" w:space="0" w:color="auto"/>
            </w:tcBorders>
            <w:noWrap/>
            <w:vAlign w:val="bottom"/>
            <w:hideMark/>
          </w:tcPr>
          <w:p w14:paraId="0E148541"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312" w:type="pct"/>
            <w:tcBorders>
              <w:top w:val="nil"/>
              <w:left w:val="nil"/>
              <w:bottom w:val="single" w:sz="4" w:space="0" w:color="auto"/>
              <w:right w:val="single" w:sz="4" w:space="0" w:color="auto"/>
            </w:tcBorders>
            <w:noWrap/>
            <w:vAlign w:val="bottom"/>
            <w:hideMark/>
          </w:tcPr>
          <w:p w14:paraId="4448D0B3"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387B44CF"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6C0B949C"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3" w:type="pct"/>
            <w:tcBorders>
              <w:top w:val="nil"/>
              <w:left w:val="nil"/>
              <w:bottom w:val="single" w:sz="4" w:space="0" w:color="auto"/>
              <w:right w:val="single" w:sz="4" w:space="0" w:color="auto"/>
            </w:tcBorders>
            <w:noWrap/>
            <w:vAlign w:val="bottom"/>
            <w:hideMark/>
          </w:tcPr>
          <w:p w14:paraId="13511598"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28B61182"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r>
      <w:tr w:rsidR="00F90207" w:rsidRPr="00F90207" w14:paraId="35F489F6"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4DA87480"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8" w:type="pct"/>
            <w:tcBorders>
              <w:top w:val="nil"/>
              <w:left w:val="nil"/>
              <w:bottom w:val="single" w:sz="4" w:space="0" w:color="auto"/>
              <w:right w:val="single" w:sz="4" w:space="0" w:color="auto"/>
            </w:tcBorders>
            <w:noWrap/>
            <w:vAlign w:val="bottom"/>
            <w:hideMark/>
          </w:tcPr>
          <w:p w14:paraId="528A3A93"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312" w:type="pct"/>
            <w:tcBorders>
              <w:top w:val="nil"/>
              <w:left w:val="nil"/>
              <w:bottom w:val="single" w:sz="4" w:space="0" w:color="auto"/>
              <w:right w:val="single" w:sz="4" w:space="0" w:color="auto"/>
            </w:tcBorders>
            <w:noWrap/>
            <w:vAlign w:val="bottom"/>
            <w:hideMark/>
          </w:tcPr>
          <w:p w14:paraId="1BF5FEB5"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47392F69"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77DC97D2"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3" w:type="pct"/>
            <w:tcBorders>
              <w:top w:val="nil"/>
              <w:left w:val="nil"/>
              <w:bottom w:val="single" w:sz="4" w:space="0" w:color="auto"/>
              <w:right w:val="single" w:sz="4" w:space="0" w:color="auto"/>
            </w:tcBorders>
            <w:noWrap/>
            <w:vAlign w:val="bottom"/>
            <w:hideMark/>
          </w:tcPr>
          <w:p w14:paraId="64B95AD5"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35DE8DD9"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r>
      <w:tr w:rsidR="00F90207" w:rsidRPr="00F90207" w14:paraId="64A048A8"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015D6AD4"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ANOVA</w:t>
            </w:r>
          </w:p>
        </w:tc>
        <w:tc>
          <w:tcPr>
            <w:tcW w:w="718" w:type="pct"/>
            <w:tcBorders>
              <w:top w:val="nil"/>
              <w:left w:val="nil"/>
              <w:bottom w:val="single" w:sz="4" w:space="0" w:color="auto"/>
              <w:right w:val="single" w:sz="4" w:space="0" w:color="auto"/>
            </w:tcBorders>
            <w:noWrap/>
            <w:vAlign w:val="bottom"/>
            <w:hideMark/>
          </w:tcPr>
          <w:p w14:paraId="77D7ECED"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312" w:type="pct"/>
            <w:tcBorders>
              <w:top w:val="nil"/>
              <w:left w:val="nil"/>
              <w:bottom w:val="single" w:sz="4" w:space="0" w:color="auto"/>
              <w:right w:val="single" w:sz="4" w:space="0" w:color="auto"/>
            </w:tcBorders>
            <w:noWrap/>
            <w:vAlign w:val="bottom"/>
            <w:hideMark/>
          </w:tcPr>
          <w:p w14:paraId="31A93CDB"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44906D35"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73BA6750"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3" w:type="pct"/>
            <w:tcBorders>
              <w:top w:val="nil"/>
              <w:left w:val="nil"/>
              <w:bottom w:val="single" w:sz="4" w:space="0" w:color="auto"/>
              <w:right w:val="single" w:sz="4" w:space="0" w:color="auto"/>
            </w:tcBorders>
            <w:noWrap/>
            <w:vAlign w:val="bottom"/>
            <w:hideMark/>
          </w:tcPr>
          <w:p w14:paraId="511A58D4"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7ACEA516"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r>
      <w:tr w:rsidR="00F90207" w:rsidRPr="00F90207" w14:paraId="5F274DC0"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7410450C" w14:textId="77777777" w:rsidR="00F90207" w:rsidRPr="00F90207" w:rsidRDefault="00F90207" w:rsidP="00EE7D6E">
            <w:pPr>
              <w:spacing w:line="480" w:lineRule="auto"/>
              <w:ind w:firstLine="720"/>
              <w:rPr>
                <w:rFonts w:eastAsia="Calibri"/>
                <w:i/>
                <w:iCs/>
                <w:sz w:val="16"/>
                <w:szCs w:val="16"/>
              </w:rPr>
            </w:pPr>
            <w:r w:rsidRPr="00F90207">
              <w:rPr>
                <w:rFonts w:eastAsia="Calibri"/>
                <w:i/>
                <w:iCs/>
                <w:sz w:val="16"/>
                <w:szCs w:val="16"/>
              </w:rPr>
              <w:t>Source of Variation</w:t>
            </w:r>
          </w:p>
        </w:tc>
        <w:tc>
          <w:tcPr>
            <w:tcW w:w="718" w:type="pct"/>
            <w:tcBorders>
              <w:top w:val="nil"/>
              <w:left w:val="nil"/>
              <w:bottom w:val="single" w:sz="4" w:space="0" w:color="auto"/>
              <w:right w:val="single" w:sz="4" w:space="0" w:color="auto"/>
            </w:tcBorders>
            <w:noWrap/>
            <w:vAlign w:val="bottom"/>
            <w:hideMark/>
          </w:tcPr>
          <w:p w14:paraId="2F35CC68" w14:textId="77777777" w:rsidR="00F90207" w:rsidRPr="00F90207" w:rsidRDefault="00F90207" w:rsidP="00EE7D6E">
            <w:pPr>
              <w:spacing w:line="480" w:lineRule="auto"/>
              <w:ind w:firstLine="720"/>
              <w:rPr>
                <w:rFonts w:eastAsia="Calibri"/>
                <w:i/>
                <w:iCs/>
                <w:sz w:val="16"/>
                <w:szCs w:val="16"/>
              </w:rPr>
            </w:pPr>
            <w:r w:rsidRPr="00F90207">
              <w:rPr>
                <w:rFonts w:eastAsia="Calibri"/>
                <w:i/>
                <w:iCs/>
                <w:sz w:val="16"/>
                <w:szCs w:val="16"/>
              </w:rPr>
              <w:t>SS</w:t>
            </w:r>
          </w:p>
        </w:tc>
        <w:tc>
          <w:tcPr>
            <w:tcW w:w="312" w:type="pct"/>
            <w:tcBorders>
              <w:top w:val="nil"/>
              <w:left w:val="nil"/>
              <w:bottom w:val="single" w:sz="4" w:space="0" w:color="auto"/>
              <w:right w:val="single" w:sz="4" w:space="0" w:color="auto"/>
            </w:tcBorders>
            <w:noWrap/>
            <w:vAlign w:val="bottom"/>
            <w:hideMark/>
          </w:tcPr>
          <w:p w14:paraId="3DEF6CC0" w14:textId="77777777" w:rsidR="00F90207" w:rsidRPr="00F90207" w:rsidRDefault="00F90207" w:rsidP="00EE7D6E">
            <w:pPr>
              <w:spacing w:line="480" w:lineRule="auto"/>
              <w:ind w:firstLine="720"/>
              <w:rPr>
                <w:rFonts w:eastAsia="Calibri"/>
                <w:i/>
                <w:iCs/>
                <w:sz w:val="16"/>
                <w:szCs w:val="16"/>
              </w:rPr>
            </w:pPr>
            <w:proofErr w:type="spellStart"/>
            <w:r w:rsidRPr="00F90207">
              <w:rPr>
                <w:rFonts w:eastAsia="Calibri"/>
                <w:i/>
                <w:iCs/>
                <w:sz w:val="16"/>
                <w:szCs w:val="16"/>
              </w:rPr>
              <w:t>df</w:t>
            </w:r>
            <w:proofErr w:type="spellEnd"/>
          </w:p>
        </w:tc>
        <w:tc>
          <w:tcPr>
            <w:tcW w:w="719" w:type="pct"/>
            <w:tcBorders>
              <w:top w:val="nil"/>
              <w:left w:val="nil"/>
              <w:bottom w:val="single" w:sz="4" w:space="0" w:color="auto"/>
              <w:right w:val="single" w:sz="4" w:space="0" w:color="auto"/>
            </w:tcBorders>
            <w:noWrap/>
            <w:vAlign w:val="bottom"/>
            <w:hideMark/>
          </w:tcPr>
          <w:p w14:paraId="252BD9B8" w14:textId="77777777" w:rsidR="00F90207" w:rsidRPr="00F90207" w:rsidRDefault="00F90207" w:rsidP="00EE7D6E">
            <w:pPr>
              <w:spacing w:line="480" w:lineRule="auto"/>
              <w:ind w:firstLine="720"/>
              <w:rPr>
                <w:rFonts w:eastAsia="Calibri"/>
                <w:i/>
                <w:iCs/>
                <w:sz w:val="16"/>
                <w:szCs w:val="16"/>
              </w:rPr>
            </w:pPr>
            <w:r w:rsidRPr="00F90207">
              <w:rPr>
                <w:rFonts w:eastAsia="Calibri"/>
                <w:i/>
                <w:iCs/>
                <w:sz w:val="16"/>
                <w:szCs w:val="16"/>
              </w:rPr>
              <w:t>MS</w:t>
            </w:r>
          </w:p>
        </w:tc>
        <w:tc>
          <w:tcPr>
            <w:tcW w:w="719" w:type="pct"/>
            <w:tcBorders>
              <w:top w:val="nil"/>
              <w:left w:val="nil"/>
              <w:bottom w:val="single" w:sz="4" w:space="0" w:color="auto"/>
              <w:right w:val="single" w:sz="4" w:space="0" w:color="auto"/>
            </w:tcBorders>
            <w:noWrap/>
            <w:vAlign w:val="bottom"/>
            <w:hideMark/>
          </w:tcPr>
          <w:p w14:paraId="1E4C24C3" w14:textId="77777777" w:rsidR="00F90207" w:rsidRPr="00F90207" w:rsidRDefault="00F90207" w:rsidP="00EE7D6E">
            <w:pPr>
              <w:spacing w:line="480" w:lineRule="auto"/>
              <w:ind w:firstLine="720"/>
              <w:rPr>
                <w:rFonts w:eastAsia="Calibri"/>
                <w:i/>
                <w:iCs/>
                <w:sz w:val="16"/>
                <w:szCs w:val="16"/>
              </w:rPr>
            </w:pPr>
            <w:r w:rsidRPr="00F90207">
              <w:rPr>
                <w:rFonts w:eastAsia="Calibri"/>
                <w:i/>
                <w:iCs/>
                <w:sz w:val="16"/>
                <w:szCs w:val="16"/>
              </w:rPr>
              <w:t>F</w:t>
            </w:r>
          </w:p>
        </w:tc>
        <w:tc>
          <w:tcPr>
            <w:tcW w:w="713" w:type="pct"/>
            <w:tcBorders>
              <w:top w:val="nil"/>
              <w:left w:val="nil"/>
              <w:bottom w:val="single" w:sz="4" w:space="0" w:color="auto"/>
              <w:right w:val="single" w:sz="4" w:space="0" w:color="auto"/>
            </w:tcBorders>
            <w:noWrap/>
            <w:vAlign w:val="bottom"/>
            <w:hideMark/>
          </w:tcPr>
          <w:p w14:paraId="6A2B1A2A" w14:textId="77777777" w:rsidR="00F90207" w:rsidRPr="00F90207" w:rsidRDefault="00F90207" w:rsidP="00EE7D6E">
            <w:pPr>
              <w:spacing w:line="480" w:lineRule="auto"/>
              <w:ind w:firstLine="720"/>
              <w:rPr>
                <w:rFonts w:eastAsia="Calibri"/>
                <w:i/>
                <w:iCs/>
                <w:sz w:val="16"/>
                <w:szCs w:val="16"/>
              </w:rPr>
            </w:pPr>
            <w:r w:rsidRPr="00F90207">
              <w:rPr>
                <w:rFonts w:eastAsia="Calibri"/>
                <w:i/>
                <w:iCs/>
                <w:sz w:val="16"/>
                <w:szCs w:val="16"/>
              </w:rPr>
              <w:t>P-value</w:t>
            </w:r>
          </w:p>
        </w:tc>
        <w:tc>
          <w:tcPr>
            <w:tcW w:w="719" w:type="pct"/>
            <w:tcBorders>
              <w:top w:val="nil"/>
              <w:left w:val="nil"/>
              <w:bottom w:val="single" w:sz="4" w:space="0" w:color="auto"/>
              <w:right w:val="single" w:sz="4" w:space="0" w:color="auto"/>
            </w:tcBorders>
            <w:noWrap/>
            <w:vAlign w:val="bottom"/>
            <w:hideMark/>
          </w:tcPr>
          <w:p w14:paraId="1297A87C" w14:textId="77777777" w:rsidR="00F90207" w:rsidRPr="00F90207" w:rsidRDefault="00F90207" w:rsidP="00EE7D6E">
            <w:pPr>
              <w:spacing w:line="480" w:lineRule="auto"/>
              <w:ind w:firstLine="720"/>
              <w:rPr>
                <w:rFonts w:eastAsia="Calibri"/>
                <w:i/>
                <w:iCs/>
                <w:sz w:val="16"/>
                <w:szCs w:val="16"/>
              </w:rPr>
            </w:pPr>
            <w:r w:rsidRPr="00F90207">
              <w:rPr>
                <w:rFonts w:eastAsia="Calibri"/>
                <w:i/>
                <w:iCs/>
                <w:sz w:val="16"/>
                <w:szCs w:val="16"/>
              </w:rPr>
              <w:t>F crit</w:t>
            </w:r>
          </w:p>
        </w:tc>
      </w:tr>
      <w:tr w:rsidR="00F90207" w:rsidRPr="00F90207" w14:paraId="17C0889D"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01DE9B24"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Between Groups</w:t>
            </w:r>
          </w:p>
        </w:tc>
        <w:tc>
          <w:tcPr>
            <w:tcW w:w="718" w:type="pct"/>
            <w:tcBorders>
              <w:top w:val="nil"/>
              <w:left w:val="nil"/>
              <w:bottom w:val="single" w:sz="4" w:space="0" w:color="auto"/>
              <w:right w:val="single" w:sz="4" w:space="0" w:color="auto"/>
            </w:tcBorders>
            <w:noWrap/>
            <w:vAlign w:val="bottom"/>
            <w:hideMark/>
          </w:tcPr>
          <w:p w14:paraId="53F26621"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10.85714286</w:t>
            </w:r>
          </w:p>
        </w:tc>
        <w:tc>
          <w:tcPr>
            <w:tcW w:w="312" w:type="pct"/>
            <w:tcBorders>
              <w:top w:val="nil"/>
              <w:left w:val="nil"/>
              <w:bottom w:val="single" w:sz="4" w:space="0" w:color="auto"/>
              <w:right w:val="single" w:sz="4" w:space="0" w:color="auto"/>
            </w:tcBorders>
            <w:noWrap/>
            <w:vAlign w:val="bottom"/>
            <w:hideMark/>
          </w:tcPr>
          <w:p w14:paraId="1544E6B8"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1</w:t>
            </w:r>
          </w:p>
        </w:tc>
        <w:tc>
          <w:tcPr>
            <w:tcW w:w="719" w:type="pct"/>
            <w:tcBorders>
              <w:top w:val="nil"/>
              <w:left w:val="nil"/>
              <w:bottom w:val="single" w:sz="4" w:space="0" w:color="auto"/>
              <w:right w:val="single" w:sz="4" w:space="0" w:color="auto"/>
            </w:tcBorders>
            <w:noWrap/>
            <w:vAlign w:val="bottom"/>
            <w:hideMark/>
          </w:tcPr>
          <w:p w14:paraId="0F53EC73"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10.85714286</w:t>
            </w:r>
          </w:p>
        </w:tc>
        <w:tc>
          <w:tcPr>
            <w:tcW w:w="719" w:type="pct"/>
            <w:tcBorders>
              <w:top w:val="nil"/>
              <w:left w:val="nil"/>
              <w:bottom w:val="single" w:sz="4" w:space="0" w:color="auto"/>
              <w:right w:val="single" w:sz="4" w:space="0" w:color="auto"/>
            </w:tcBorders>
            <w:noWrap/>
            <w:vAlign w:val="bottom"/>
            <w:hideMark/>
          </w:tcPr>
          <w:p w14:paraId="21A2B5D2"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17.69198761</w:t>
            </w:r>
          </w:p>
        </w:tc>
        <w:tc>
          <w:tcPr>
            <w:tcW w:w="713" w:type="pct"/>
            <w:tcBorders>
              <w:top w:val="nil"/>
              <w:left w:val="nil"/>
              <w:bottom w:val="single" w:sz="4" w:space="0" w:color="auto"/>
              <w:right w:val="single" w:sz="4" w:space="0" w:color="auto"/>
            </w:tcBorders>
            <w:noWrap/>
            <w:vAlign w:val="bottom"/>
            <w:hideMark/>
          </w:tcPr>
          <w:p w14:paraId="7A25FC0C"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3.04945E-05</w:t>
            </w:r>
          </w:p>
        </w:tc>
        <w:tc>
          <w:tcPr>
            <w:tcW w:w="719" w:type="pct"/>
            <w:tcBorders>
              <w:top w:val="nil"/>
              <w:left w:val="nil"/>
              <w:bottom w:val="single" w:sz="4" w:space="0" w:color="auto"/>
              <w:right w:val="single" w:sz="4" w:space="0" w:color="auto"/>
            </w:tcBorders>
            <w:noWrap/>
            <w:vAlign w:val="bottom"/>
            <w:hideMark/>
          </w:tcPr>
          <w:p w14:paraId="1E43527F"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3.859063933</w:t>
            </w:r>
          </w:p>
        </w:tc>
      </w:tr>
      <w:tr w:rsidR="00F90207" w:rsidRPr="00F90207" w14:paraId="13F42C14"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5045A489"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Within Groups</w:t>
            </w:r>
          </w:p>
        </w:tc>
        <w:tc>
          <w:tcPr>
            <w:tcW w:w="718" w:type="pct"/>
            <w:tcBorders>
              <w:top w:val="nil"/>
              <w:left w:val="nil"/>
              <w:bottom w:val="single" w:sz="4" w:space="0" w:color="auto"/>
              <w:right w:val="single" w:sz="4" w:space="0" w:color="auto"/>
            </w:tcBorders>
            <w:noWrap/>
            <w:vAlign w:val="bottom"/>
            <w:hideMark/>
          </w:tcPr>
          <w:p w14:paraId="1AC5E9C6"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325.2481203</w:t>
            </w:r>
          </w:p>
        </w:tc>
        <w:tc>
          <w:tcPr>
            <w:tcW w:w="312" w:type="pct"/>
            <w:tcBorders>
              <w:top w:val="nil"/>
              <w:left w:val="nil"/>
              <w:bottom w:val="single" w:sz="4" w:space="0" w:color="auto"/>
              <w:right w:val="single" w:sz="4" w:space="0" w:color="auto"/>
            </w:tcBorders>
            <w:noWrap/>
            <w:vAlign w:val="bottom"/>
            <w:hideMark/>
          </w:tcPr>
          <w:p w14:paraId="35A607C7"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530</w:t>
            </w:r>
          </w:p>
        </w:tc>
        <w:tc>
          <w:tcPr>
            <w:tcW w:w="719" w:type="pct"/>
            <w:tcBorders>
              <w:top w:val="nil"/>
              <w:left w:val="nil"/>
              <w:bottom w:val="single" w:sz="4" w:space="0" w:color="auto"/>
              <w:right w:val="single" w:sz="4" w:space="0" w:color="auto"/>
            </w:tcBorders>
            <w:noWrap/>
            <w:vAlign w:val="bottom"/>
            <w:hideMark/>
          </w:tcPr>
          <w:p w14:paraId="3D8535A2"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0.613675699</w:t>
            </w:r>
          </w:p>
        </w:tc>
        <w:tc>
          <w:tcPr>
            <w:tcW w:w="719" w:type="pct"/>
            <w:tcBorders>
              <w:top w:val="nil"/>
              <w:left w:val="nil"/>
              <w:bottom w:val="single" w:sz="4" w:space="0" w:color="auto"/>
              <w:right w:val="single" w:sz="4" w:space="0" w:color="auto"/>
            </w:tcBorders>
            <w:noWrap/>
            <w:vAlign w:val="bottom"/>
            <w:hideMark/>
          </w:tcPr>
          <w:p w14:paraId="3A67679C"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3" w:type="pct"/>
            <w:tcBorders>
              <w:top w:val="nil"/>
              <w:left w:val="nil"/>
              <w:bottom w:val="single" w:sz="4" w:space="0" w:color="auto"/>
              <w:right w:val="single" w:sz="4" w:space="0" w:color="auto"/>
            </w:tcBorders>
            <w:noWrap/>
            <w:vAlign w:val="bottom"/>
            <w:hideMark/>
          </w:tcPr>
          <w:p w14:paraId="2BFEAAC2"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63E99B35"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r>
      <w:tr w:rsidR="00F90207" w:rsidRPr="00F90207" w14:paraId="4202DCFF"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194BBD5B"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8" w:type="pct"/>
            <w:tcBorders>
              <w:top w:val="nil"/>
              <w:left w:val="nil"/>
              <w:bottom w:val="single" w:sz="4" w:space="0" w:color="auto"/>
              <w:right w:val="single" w:sz="4" w:space="0" w:color="auto"/>
            </w:tcBorders>
            <w:noWrap/>
            <w:vAlign w:val="bottom"/>
            <w:hideMark/>
          </w:tcPr>
          <w:p w14:paraId="09AC077B"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312" w:type="pct"/>
            <w:tcBorders>
              <w:top w:val="nil"/>
              <w:left w:val="nil"/>
              <w:bottom w:val="single" w:sz="4" w:space="0" w:color="auto"/>
              <w:right w:val="single" w:sz="4" w:space="0" w:color="auto"/>
            </w:tcBorders>
            <w:noWrap/>
            <w:vAlign w:val="bottom"/>
            <w:hideMark/>
          </w:tcPr>
          <w:p w14:paraId="27A7AEBC"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66E72CD9"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4DB076C5"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3" w:type="pct"/>
            <w:tcBorders>
              <w:top w:val="nil"/>
              <w:left w:val="nil"/>
              <w:bottom w:val="single" w:sz="4" w:space="0" w:color="auto"/>
              <w:right w:val="single" w:sz="4" w:space="0" w:color="auto"/>
            </w:tcBorders>
            <w:noWrap/>
            <w:vAlign w:val="bottom"/>
            <w:hideMark/>
          </w:tcPr>
          <w:p w14:paraId="05C939AA"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13B5D6EC"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r>
      <w:tr w:rsidR="00F90207" w:rsidRPr="00F90207" w14:paraId="188312E7" w14:textId="77777777" w:rsidTr="00F90207">
        <w:trPr>
          <w:trHeight w:val="255"/>
        </w:trPr>
        <w:tc>
          <w:tcPr>
            <w:tcW w:w="1100" w:type="pct"/>
            <w:tcBorders>
              <w:top w:val="nil"/>
              <w:left w:val="single" w:sz="4" w:space="0" w:color="auto"/>
              <w:bottom w:val="single" w:sz="4" w:space="0" w:color="auto"/>
              <w:right w:val="single" w:sz="4" w:space="0" w:color="auto"/>
            </w:tcBorders>
            <w:noWrap/>
            <w:vAlign w:val="bottom"/>
            <w:hideMark/>
          </w:tcPr>
          <w:p w14:paraId="02E5047F"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Total</w:t>
            </w:r>
          </w:p>
        </w:tc>
        <w:tc>
          <w:tcPr>
            <w:tcW w:w="718" w:type="pct"/>
            <w:tcBorders>
              <w:top w:val="nil"/>
              <w:left w:val="nil"/>
              <w:bottom w:val="single" w:sz="4" w:space="0" w:color="auto"/>
              <w:right w:val="single" w:sz="4" w:space="0" w:color="auto"/>
            </w:tcBorders>
            <w:noWrap/>
            <w:vAlign w:val="bottom"/>
            <w:hideMark/>
          </w:tcPr>
          <w:p w14:paraId="26EA3828"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336.1052632</w:t>
            </w:r>
          </w:p>
        </w:tc>
        <w:tc>
          <w:tcPr>
            <w:tcW w:w="312" w:type="pct"/>
            <w:tcBorders>
              <w:top w:val="nil"/>
              <w:left w:val="nil"/>
              <w:bottom w:val="single" w:sz="4" w:space="0" w:color="auto"/>
              <w:right w:val="single" w:sz="4" w:space="0" w:color="auto"/>
            </w:tcBorders>
            <w:noWrap/>
            <w:vAlign w:val="bottom"/>
            <w:hideMark/>
          </w:tcPr>
          <w:p w14:paraId="02791CF8"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531</w:t>
            </w:r>
          </w:p>
        </w:tc>
        <w:tc>
          <w:tcPr>
            <w:tcW w:w="719" w:type="pct"/>
            <w:tcBorders>
              <w:top w:val="nil"/>
              <w:left w:val="nil"/>
              <w:bottom w:val="single" w:sz="4" w:space="0" w:color="auto"/>
              <w:right w:val="single" w:sz="4" w:space="0" w:color="auto"/>
            </w:tcBorders>
            <w:noWrap/>
            <w:vAlign w:val="bottom"/>
            <w:hideMark/>
          </w:tcPr>
          <w:p w14:paraId="7B5916AE"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23C80115"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3" w:type="pct"/>
            <w:tcBorders>
              <w:top w:val="nil"/>
              <w:left w:val="nil"/>
              <w:bottom w:val="single" w:sz="4" w:space="0" w:color="auto"/>
              <w:right w:val="single" w:sz="4" w:space="0" w:color="auto"/>
            </w:tcBorders>
            <w:noWrap/>
            <w:vAlign w:val="bottom"/>
            <w:hideMark/>
          </w:tcPr>
          <w:p w14:paraId="4ADE5460"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c>
          <w:tcPr>
            <w:tcW w:w="719" w:type="pct"/>
            <w:tcBorders>
              <w:top w:val="nil"/>
              <w:left w:val="nil"/>
              <w:bottom w:val="single" w:sz="4" w:space="0" w:color="auto"/>
              <w:right w:val="single" w:sz="4" w:space="0" w:color="auto"/>
            </w:tcBorders>
            <w:noWrap/>
            <w:vAlign w:val="bottom"/>
            <w:hideMark/>
          </w:tcPr>
          <w:p w14:paraId="4E57C73B" w14:textId="77777777" w:rsidR="00F90207" w:rsidRPr="00F90207" w:rsidRDefault="00F90207" w:rsidP="00EE7D6E">
            <w:pPr>
              <w:spacing w:line="480" w:lineRule="auto"/>
              <w:ind w:firstLine="720"/>
              <w:rPr>
                <w:rFonts w:eastAsia="Calibri"/>
                <w:sz w:val="16"/>
                <w:szCs w:val="16"/>
              </w:rPr>
            </w:pPr>
            <w:r w:rsidRPr="00F90207">
              <w:rPr>
                <w:rFonts w:eastAsia="Calibri"/>
                <w:sz w:val="16"/>
                <w:szCs w:val="16"/>
              </w:rPr>
              <w:t> </w:t>
            </w:r>
          </w:p>
        </w:tc>
      </w:tr>
    </w:tbl>
    <w:p w14:paraId="7778F40B" w14:textId="686A0983" w:rsidR="00F90207" w:rsidRPr="00F90207" w:rsidRDefault="00F90207" w:rsidP="00EE7D6E">
      <w:pPr>
        <w:pStyle w:val="Caption"/>
        <w:spacing w:line="480" w:lineRule="auto"/>
        <w:rPr>
          <w:rFonts w:eastAsia="Calibri"/>
        </w:rPr>
      </w:pPr>
      <w:r>
        <w:t xml:space="preserve">Table </w:t>
      </w:r>
      <w:fldSimple w:instr=" SEQ Table \* ARABIC ">
        <w:r>
          <w:rPr>
            <w:noProof/>
          </w:rPr>
          <w:t>3</w:t>
        </w:r>
      </w:fldSimple>
      <w:r>
        <w:t xml:space="preserve">: </w:t>
      </w:r>
      <w:r w:rsidRPr="00F90207">
        <w:rPr>
          <w:rFonts w:eastAsia="Calibri"/>
        </w:rPr>
        <w:t xml:space="preserve">Annova analysis between age and department </w:t>
      </w:r>
    </w:p>
    <w:p w14:paraId="763738D0" w14:textId="46FBD868" w:rsidR="00F90207" w:rsidRPr="00F90207" w:rsidRDefault="00F90207" w:rsidP="00EE7D6E">
      <w:pPr>
        <w:spacing w:line="480" w:lineRule="auto"/>
        <w:ind w:firstLine="720"/>
        <w:rPr>
          <w:rFonts w:eastAsia="Calibri"/>
        </w:rPr>
      </w:pPr>
      <w:r w:rsidRPr="00F90207">
        <w:rPr>
          <w:rFonts w:eastAsia="Calibri"/>
        </w:rPr>
        <w:t>Based on the p-value which tends to be smaller than 0.05, we reject the null hypothesis (H0), which posits no difference between the groups and on the basis of that the alternative hypothesis (H1), suggesting a difference between the groups, is therefore accepted and this implies that there is a statistically significant difference in survey measures between the two groups (Age and Department).</w:t>
      </w:r>
    </w:p>
    <w:p w14:paraId="52B8C469" w14:textId="294B8961" w:rsidR="00EE4654" w:rsidRPr="00F475E5" w:rsidRDefault="00EE4654" w:rsidP="00EE7D6E">
      <w:pPr>
        <w:spacing w:line="480" w:lineRule="auto"/>
        <w:ind w:firstLine="720"/>
        <w:rPr>
          <w:rFonts w:eastAsia="Calibri"/>
        </w:rPr>
      </w:pPr>
    </w:p>
    <w:p w14:paraId="7F79F8D8" w14:textId="4F8B2F35" w:rsidR="000455F6" w:rsidRPr="00B224B6" w:rsidRDefault="000455F6" w:rsidP="00EE7D6E">
      <w:pPr>
        <w:pStyle w:val="Blockquote"/>
        <w:spacing w:before="0" w:after="0" w:line="480" w:lineRule="auto"/>
        <w:ind w:left="0" w:right="0"/>
        <w:jc w:val="center"/>
        <w:rPr>
          <w:b/>
          <w:color w:val="000000"/>
          <w:szCs w:val="24"/>
        </w:rPr>
      </w:pPr>
      <w:r w:rsidRPr="00B224B6">
        <w:rPr>
          <w:b/>
          <w:color w:val="000000"/>
          <w:szCs w:val="24"/>
        </w:rPr>
        <w:t>Conclusion</w:t>
      </w:r>
    </w:p>
    <w:p w14:paraId="453DB1F9" w14:textId="51BED35B" w:rsidR="00EE7D6E" w:rsidRPr="00EE7D6E" w:rsidRDefault="00EE7D6E" w:rsidP="00EE7D6E">
      <w:pPr>
        <w:tabs>
          <w:tab w:val="left" w:pos="360"/>
        </w:tabs>
        <w:overflowPunct w:val="0"/>
        <w:autoSpaceDE w:val="0"/>
        <w:autoSpaceDN w:val="0"/>
        <w:adjustRightInd w:val="0"/>
        <w:spacing w:line="480" w:lineRule="auto"/>
        <w:textAlignment w:val="baseline"/>
        <w:rPr>
          <w:color w:val="000000"/>
        </w:rPr>
      </w:pPr>
      <w:r>
        <w:rPr>
          <w:color w:val="000000"/>
        </w:rPr>
        <w:tab/>
      </w:r>
      <w:r>
        <w:rPr>
          <w:color w:val="000000"/>
        </w:rPr>
        <w:tab/>
      </w:r>
      <w:r w:rsidRPr="00EE7D6E">
        <w:rPr>
          <w:color w:val="000000"/>
        </w:rPr>
        <w:t>According to the above analysis which tends to concludes that addressing job satisfaction, intrinsic motivation, and turnover is crucial for improving employee engagement and retention such as by focusing on these areas, organizations can create a more committed and productive workforce, ultimately driving long-term success. However, on the basis of tailored strategies that align with industry trends will foster a positive work environment and reduce costly turnover.</w:t>
      </w:r>
    </w:p>
    <w:p w14:paraId="054C6B70" w14:textId="6EB4DA87" w:rsidR="000455F6" w:rsidRPr="00B224B6" w:rsidRDefault="000455F6" w:rsidP="00EE7D6E">
      <w:pPr>
        <w:tabs>
          <w:tab w:val="left" w:pos="360"/>
        </w:tabs>
        <w:overflowPunct w:val="0"/>
        <w:autoSpaceDE w:val="0"/>
        <w:autoSpaceDN w:val="0"/>
        <w:adjustRightInd w:val="0"/>
        <w:spacing w:line="480" w:lineRule="auto"/>
        <w:ind w:firstLine="720"/>
        <w:textAlignment w:val="baseline"/>
        <w:rPr>
          <w:color w:val="000000"/>
        </w:rPr>
      </w:pPr>
    </w:p>
    <w:p w14:paraId="5FC249A1" w14:textId="77777777" w:rsidR="000455F6" w:rsidRPr="00B224B6" w:rsidRDefault="000455F6" w:rsidP="00EE7D6E">
      <w:pPr>
        <w:tabs>
          <w:tab w:val="left" w:pos="360"/>
        </w:tabs>
        <w:overflowPunct w:val="0"/>
        <w:autoSpaceDE w:val="0"/>
        <w:autoSpaceDN w:val="0"/>
        <w:adjustRightInd w:val="0"/>
        <w:spacing w:line="480" w:lineRule="auto"/>
        <w:ind w:left="-360"/>
        <w:jc w:val="center"/>
        <w:textAlignment w:val="baseline"/>
        <w:rPr>
          <w:color w:val="000000"/>
          <w:highlight w:val="yellow"/>
        </w:rPr>
      </w:pPr>
      <w:r w:rsidRPr="00B224B6">
        <w:rPr>
          <w:color w:val="000000"/>
        </w:rPr>
        <w:br w:type="page"/>
      </w:r>
      <w:r w:rsidRPr="00B224B6">
        <w:rPr>
          <w:b/>
          <w:color w:val="000000"/>
        </w:rPr>
        <w:lastRenderedPageBreak/>
        <w:t>References</w:t>
      </w:r>
    </w:p>
    <w:p w14:paraId="5B46877E" w14:textId="77777777" w:rsidR="00EE7D6E" w:rsidRPr="00EE7D6E" w:rsidRDefault="00EE7D6E" w:rsidP="00EE7D6E">
      <w:pPr>
        <w:pStyle w:val="NormalWeb"/>
        <w:spacing w:line="480" w:lineRule="auto"/>
        <w:ind w:left="720" w:hanging="720"/>
        <w:jc w:val="both"/>
        <w:rPr>
          <w:color w:val="000000"/>
        </w:rPr>
      </w:pPr>
      <w:proofErr w:type="spellStart"/>
      <w:r w:rsidRPr="00EE7D6E">
        <w:rPr>
          <w:color w:val="000000"/>
        </w:rPr>
        <w:t>Ashikali</w:t>
      </w:r>
      <w:proofErr w:type="spellEnd"/>
      <w:r w:rsidRPr="00EE7D6E">
        <w:rPr>
          <w:color w:val="000000"/>
        </w:rPr>
        <w:t xml:space="preserve">, T., &amp; Groeneveld, S. (2015). Diversity management in public organizations and its effect on employees' affective commitment: The role of transformational leadership and the inclusiveness of the organizational culture. </w:t>
      </w:r>
      <w:r w:rsidRPr="00EE7D6E">
        <w:rPr>
          <w:i/>
          <w:iCs/>
          <w:color w:val="000000"/>
        </w:rPr>
        <w:t>Review of Public Personnel Administration, 35</w:t>
      </w:r>
      <w:r w:rsidRPr="00EE7D6E">
        <w:rPr>
          <w:color w:val="000000"/>
        </w:rPr>
        <w:t xml:space="preserve">(2), 146–168.​ </w:t>
      </w:r>
    </w:p>
    <w:p w14:paraId="3BC8CE8E" w14:textId="77777777" w:rsidR="00EE7D6E" w:rsidRPr="00EE7D6E" w:rsidRDefault="00EE7D6E" w:rsidP="00EE7D6E">
      <w:pPr>
        <w:pStyle w:val="NormalWeb"/>
        <w:spacing w:line="480" w:lineRule="auto"/>
        <w:ind w:left="720" w:hanging="720"/>
        <w:jc w:val="both"/>
        <w:rPr>
          <w:color w:val="000000"/>
        </w:rPr>
      </w:pPr>
      <w:r w:rsidRPr="00EE7D6E">
        <w:rPr>
          <w:color w:val="000000"/>
        </w:rPr>
        <w:t xml:space="preserve">Trochmann, M., Stewart, K., &amp; Ragusa, J. (2023). The impact of employee perceptions of inclusion in a racially diverse agency: Lessons from a state government survey. </w:t>
      </w:r>
      <w:r w:rsidRPr="00EE7D6E">
        <w:rPr>
          <w:i/>
          <w:iCs/>
          <w:color w:val="000000"/>
        </w:rPr>
        <w:t>Public Personnel Management, 52</w:t>
      </w:r>
      <w:r w:rsidRPr="00EE7D6E">
        <w:rPr>
          <w:color w:val="000000"/>
        </w:rPr>
        <w:t xml:space="preserve">(4), 429–452.​ </w:t>
      </w:r>
    </w:p>
    <w:p w14:paraId="21A8F900" w14:textId="77777777" w:rsidR="00EE7D6E" w:rsidRPr="00EE7D6E" w:rsidRDefault="00EE7D6E" w:rsidP="00EE7D6E">
      <w:pPr>
        <w:pStyle w:val="NormalWeb"/>
        <w:spacing w:line="480" w:lineRule="auto"/>
        <w:ind w:left="720" w:hanging="720"/>
        <w:jc w:val="both"/>
        <w:rPr>
          <w:color w:val="000000"/>
        </w:rPr>
      </w:pPr>
      <w:r w:rsidRPr="00EE7D6E">
        <w:rPr>
          <w:color w:val="000000"/>
        </w:rPr>
        <w:t xml:space="preserve">Brimhall, K. C., Lizano, E. L., &amp; Barak, M. E. M. (2014). The mediating role of inclusion: A longitudinal study of the effects of leader-member exchange and diversity climate on job satisfaction and intention to leave among child welfare workers. </w:t>
      </w:r>
      <w:r w:rsidRPr="00EE7D6E">
        <w:rPr>
          <w:i/>
          <w:iCs/>
          <w:color w:val="000000"/>
        </w:rPr>
        <w:t>Children and Youth Services Review, 36</w:t>
      </w:r>
      <w:r w:rsidRPr="00EE7D6E">
        <w:rPr>
          <w:color w:val="000000"/>
        </w:rPr>
        <w:t xml:space="preserve">(1), 137–146.​ </w:t>
      </w:r>
    </w:p>
    <w:p w14:paraId="6A653F8D" w14:textId="77777777" w:rsidR="00EE7D6E" w:rsidRPr="00EE7D6E" w:rsidRDefault="00EE7D6E" w:rsidP="00EE7D6E">
      <w:pPr>
        <w:pStyle w:val="NormalWeb"/>
        <w:spacing w:line="480" w:lineRule="auto"/>
        <w:ind w:left="720" w:hanging="720"/>
        <w:jc w:val="both"/>
        <w:rPr>
          <w:color w:val="000000"/>
        </w:rPr>
      </w:pPr>
      <w:r w:rsidRPr="00EE7D6E">
        <w:rPr>
          <w:color w:val="000000"/>
        </w:rPr>
        <w:t xml:space="preserve">Dover, T. L., Kaiser, C. R., &amp; Major, B. (2020). Mixed signals: The unintended effects of diversity initiatives. </w:t>
      </w:r>
      <w:r w:rsidRPr="00EE7D6E">
        <w:rPr>
          <w:i/>
          <w:iCs/>
          <w:color w:val="000000"/>
        </w:rPr>
        <w:t>Social Issues and Policy Review, 14</w:t>
      </w:r>
      <w:r w:rsidRPr="00EE7D6E">
        <w:rPr>
          <w:color w:val="000000"/>
        </w:rPr>
        <w:t xml:space="preserve">(1), 152–181.​ </w:t>
      </w:r>
    </w:p>
    <w:p w14:paraId="0C520018" w14:textId="2375B614" w:rsidR="00A42F13" w:rsidRPr="00B224B6" w:rsidRDefault="00EE7D6E" w:rsidP="00EE7D6E">
      <w:pPr>
        <w:pStyle w:val="NormalWeb"/>
        <w:spacing w:line="480" w:lineRule="auto"/>
        <w:ind w:left="720" w:hanging="720"/>
        <w:jc w:val="both"/>
        <w:rPr>
          <w:color w:val="000000"/>
        </w:rPr>
      </w:pPr>
      <w:proofErr w:type="spellStart"/>
      <w:r w:rsidRPr="00EE7D6E">
        <w:rPr>
          <w:color w:val="000000"/>
        </w:rPr>
        <w:t>Chordiya</w:t>
      </w:r>
      <w:proofErr w:type="spellEnd"/>
      <w:r w:rsidRPr="00EE7D6E">
        <w:rPr>
          <w:color w:val="000000"/>
        </w:rPr>
        <w:t xml:space="preserve">, R. (2019). Are federal child care programs sufficient for employee retention? Critical examination from a gendered perspective. </w:t>
      </w:r>
      <w:r w:rsidRPr="00EE7D6E">
        <w:rPr>
          <w:i/>
          <w:iCs/>
          <w:color w:val="000000"/>
        </w:rPr>
        <w:t>The American Review of Public Administration, 49</w:t>
      </w:r>
      <w:r w:rsidRPr="00EE7D6E">
        <w:rPr>
          <w:color w:val="000000"/>
        </w:rPr>
        <w:t>(6), 678–696.</w:t>
      </w:r>
    </w:p>
    <w:sectPr w:rsidR="00A42F13" w:rsidRPr="00B224B6" w:rsidSect="003F5158">
      <w:headerReference w:type="default" r:id="rId14"/>
      <w:head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C829" w14:textId="77777777" w:rsidR="00B27751" w:rsidRDefault="00B27751">
      <w:r>
        <w:separator/>
      </w:r>
    </w:p>
  </w:endnote>
  <w:endnote w:type="continuationSeparator" w:id="0">
    <w:p w14:paraId="56408C1D" w14:textId="77777777" w:rsidR="00B27751" w:rsidRDefault="00B2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F387" w14:textId="77777777" w:rsidR="00B27751" w:rsidRDefault="00B27751">
      <w:r>
        <w:separator/>
      </w:r>
    </w:p>
  </w:footnote>
  <w:footnote w:type="continuationSeparator" w:id="0">
    <w:p w14:paraId="6940C815" w14:textId="77777777" w:rsidR="00B27751" w:rsidRDefault="00B2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3E42AB">
      <w:rPr>
        <w:rStyle w:val="PageNumber"/>
        <w:noProof/>
      </w:rPr>
      <w:t>3</w:t>
    </w:r>
    <w:r>
      <w:rPr>
        <w:rStyle w:val="PageNumber"/>
      </w:rPr>
      <w:fldChar w:fldCharType="end"/>
    </w:r>
  </w:p>
  <w:p w14:paraId="3A9BF68D" w14:textId="5699615F" w:rsidR="00B32F73" w:rsidRPr="00352E8D" w:rsidRDefault="00F378C4" w:rsidP="003F5158">
    <w:pPr>
      <w:pStyle w:val="Header"/>
      <w:ind w:right="360"/>
      <w:rPr>
        <w:sz w:val="22"/>
        <w:szCs w:val="22"/>
      </w:rPr>
    </w:pPr>
    <w:r>
      <w:t>BUS</w:t>
    </w:r>
    <w:r w:rsidR="002C7462">
      <w:t>520</w:t>
    </w:r>
    <w:r w:rsidR="00D0108C">
      <w:t xml:space="preserve"> </w:t>
    </w:r>
    <w:r w:rsidR="00B7451A">
      <w:t>SLP</w:t>
    </w:r>
    <w:r w:rsidR="006624AB">
      <w:t xml:space="preserve"> </w:t>
    </w:r>
    <w:r w:rsidR="00EE4654">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3E42AB">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82BEA"/>
    <w:multiLevelType w:val="hybridMultilevel"/>
    <w:tmpl w:val="BC8E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2D725E"/>
    <w:multiLevelType w:val="hybridMultilevel"/>
    <w:tmpl w:val="A3323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7F5940"/>
    <w:multiLevelType w:val="hybridMultilevel"/>
    <w:tmpl w:val="7444BC8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630444">
    <w:abstractNumId w:val="16"/>
  </w:num>
  <w:num w:numId="2" w16cid:durableId="1273586069">
    <w:abstractNumId w:val="7"/>
  </w:num>
  <w:num w:numId="3" w16cid:durableId="391197065">
    <w:abstractNumId w:val="15"/>
  </w:num>
  <w:num w:numId="4" w16cid:durableId="39793385">
    <w:abstractNumId w:val="24"/>
  </w:num>
  <w:num w:numId="5" w16cid:durableId="929777250">
    <w:abstractNumId w:val="1"/>
  </w:num>
  <w:num w:numId="6" w16cid:durableId="322320054">
    <w:abstractNumId w:val="28"/>
  </w:num>
  <w:num w:numId="7" w16cid:durableId="1632445300">
    <w:abstractNumId w:val="25"/>
  </w:num>
  <w:num w:numId="8" w16cid:durableId="429666666">
    <w:abstractNumId w:val="12"/>
  </w:num>
  <w:num w:numId="9" w16cid:durableId="358164145">
    <w:abstractNumId w:val="2"/>
  </w:num>
  <w:num w:numId="10" w16cid:durableId="821845798">
    <w:abstractNumId w:val="17"/>
  </w:num>
  <w:num w:numId="11" w16cid:durableId="1486626164">
    <w:abstractNumId w:val="4"/>
  </w:num>
  <w:num w:numId="12" w16cid:durableId="233514542">
    <w:abstractNumId w:val="26"/>
  </w:num>
  <w:num w:numId="13" w16cid:durableId="1705905247">
    <w:abstractNumId w:val="27"/>
  </w:num>
  <w:num w:numId="14" w16cid:durableId="1226330554">
    <w:abstractNumId w:val="22"/>
  </w:num>
  <w:num w:numId="15" w16cid:durableId="132259379">
    <w:abstractNumId w:val="32"/>
  </w:num>
  <w:num w:numId="16" w16cid:durableId="777526026">
    <w:abstractNumId w:val="19"/>
  </w:num>
  <w:num w:numId="17" w16cid:durableId="1503006039">
    <w:abstractNumId w:val="33"/>
  </w:num>
  <w:num w:numId="18" w16cid:durableId="874972855">
    <w:abstractNumId w:val="8"/>
  </w:num>
  <w:num w:numId="19" w16cid:durableId="1432554553">
    <w:abstractNumId w:val="6"/>
  </w:num>
  <w:num w:numId="20" w16cid:durableId="1259556109">
    <w:abstractNumId w:val="13"/>
  </w:num>
  <w:num w:numId="21" w16cid:durableId="194587809">
    <w:abstractNumId w:val="20"/>
  </w:num>
  <w:num w:numId="22" w16cid:durableId="846746957">
    <w:abstractNumId w:val="9"/>
  </w:num>
  <w:num w:numId="23" w16cid:durableId="1875926323">
    <w:abstractNumId w:val="23"/>
  </w:num>
  <w:num w:numId="24" w16cid:durableId="2016805747">
    <w:abstractNumId w:val="3"/>
  </w:num>
  <w:num w:numId="25" w16cid:durableId="1976517989">
    <w:abstractNumId w:val="30"/>
  </w:num>
  <w:num w:numId="26" w16cid:durableId="819544351">
    <w:abstractNumId w:val="18"/>
  </w:num>
  <w:num w:numId="27" w16cid:durableId="1390955198">
    <w:abstractNumId w:val="10"/>
  </w:num>
  <w:num w:numId="28" w16cid:durableId="1163622730">
    <w:abstractNumId w:val="5"/>
  </w:num>
  <w:num w:numId="29" w16cid:durableId="251088735">
    <w:abstractNumId w:val="31"/>
  </w:num>
  <w:num w:numId="30" w16cid:durableId="1627467491">
    <w:abstractNumId w:val="14"/>
  </w:num>
  <w:num w:numId="31" w16cid:durableId="1952786779">
    <w:abstractNumId w:val="0"/>
  </w:num>
  <w:num w:numId="32" w16cid:durableId="1698386946">
    <w:abstractNumId w:val="11"/>
  </w:num>
  <w:num w:numId="33" w16cid:durableId="1010178754">
    <w:abstractNumId w:val="21"/>
  </w:num>
  <w:num w:numId="34" w16cid:durableId="16793045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0MzYztzC3MDE0MDFR0lEKTi0uzszPAykwMq0FAN2mvaQtAAAA"/>
  </w:docVars>
  <w:rsids>
    <w:rsidRoot w:val="0050433C"/>
    <w:rsid w:val="00026142"/>
    <w:rsid w:val="0003472F"/>
    <w:rsid w:val="000455F6"/>
    <w:rsid w:val="00047143"/>
    <w:rsid w:val="000511FA"/>
    <w:rsid w:val="0006074E"/>
    <w:rsid w:val="00081629"/>
    <w:rsid w:val="00085C7F"/>
    <w:rsid w:val="000A198A"/>
    <w:rsid w:val="000A39A9"/>
    <w:rsid w:val="000A3B55"/>
    <w:rsid w:val="000B008D"/>
    <w:rsid w:val="000B6AD6"/>
    <w:rsid w:val="000C144F"/>
    <w:rsid w:val="000C1741"/>
    <w:rsid w:val="000C6AD9"/>
    <w:rsid w:val="000E0F36"/>
    <w:rsid w:val="000F1641"/>
    <w:rsid w:val="00106FDE"/>
    <w:rsid w:val="00131A1B"/>
    <w:rsid w:val="0013241F"/>
    <w:rsid w:val="001377D4"/>
    <w:rsid w:val="00147909"/>
    <w:rsid w:val="00150EEF"/>
    <w:rsid w:val="00154F49"/>
    <w:rsid w:val="00163836"/>
    <w:rsid w:val="00167D67"/>
    <w:rsid w:val="001758DE"/>
    <w:rsid w:val="00182003"/>
    <w:rsid w:val="001A55A9"/>
    <w:rsid w:val="001D090F"/>
    <w:rsid w:val="001D1CD9"/>
    <w:rsid w:val="001F40F3"/>
    <w:rsid w:val="0020174B"/>
    <w:rsid w:val="0020241D"/>
    <w:rsid w:val="00202586"/>
    <w:rsid w:val="00211094"/>
    <w:rsid w:val="0021351E"/>
    <w:rsid w:val="002439C9"/>
    <w:rsid w:val="00253713"/>
    <w:rsid w:val="00256256"/>
    <w:rsid w:val="00286395"/>
    <w:rsid w:val="002A2C9F"/>
    <w:rsid w:val="002C00BE"/>
    <w:rsid w:val="002C7462"/>
    <w:rsid w:val="002D755D"/>
    <w:rsid w:val="002E6180"/>
    <w:rsid w:val="002F7DEF"/>
    <w:rsid w:val="00312827"/>
    <w:rsid w:val="00352229"/>
    <w:rsid w:val="00352E8D"/>
    <w:rsid w:val="00354C36"/>
    <w:rsid w:val="00356E85"/>
    <w:rsid w:val="00361978"/>
    <w:rsid w:val="00364C68"/>
    <w:rsid w:val="003A0026"/>
    <w:rsid w:val="003A1801"/>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112E"/>
    <w:rsid w:val="00454CAF"/>
    <w:rsid w:val="00456686"/>
    <w:rsid w:val="004578EE"/>
    <w:rsid w:val="004604B1"/>
    <w:rsid w:val="00466700"/>
    <w:rsid w:val="004853C2"/>
    <w:rsid w:val="00492DCE"/>
    <w:rsid w:val="0049530B"/>
    <w:rsid w:val="004A3C8E"/>
    <w:rsid w:val="004C1298"/>
    <w:rsid w:val="00502A2F"/>
    <w:rsid w:val="005040FF"/>
    <w:rsid w:val="0050433C"/>
    <w:rsid w:val="0050489F"/>
    <w:rsid w:val="00522766"/>
    <w:rsid w:val="00530A67"/>
    <w:rsid w:val="0053493C"/>
    <w:rsid w:val="005412E4"/>
    <w:rsid w:val="0055467F"/>
    <w:rsid w:val="00561A56"/>
    <w:rsid w:val="00565081"/>
    <w:rsid w:val="0057635E"/>
    <w:rsid w:val="00581CE2"/>
    <w:rsid w:val="005E5214"/>
    <w:rsid w:val="005E5984"/>
    <w:rsid w:val="005F3678"/>
    <w:rsid w:val="005F75ED"/>
    <w:rsid w:val="0060394A"/>
    <w:rsid w:val="006124DB"/>
    <w:rsid w:val="00614C45"/>
    <w:rsid w:val="00625523"/>
    <w:rsid w:val="006416F4"/>
    <w:rsid w:val="006431F1"/>
    <w:rsid w:val="00660724"/>
    <w:rsid w:val="006624AB"/>
    <w:rsid w:val="00672D33"/>
    <w:rsid w:val="006730B0"/>
    <w:rsid w:val="00674A8C"/>
    <w:rsid w:val="006A5C5E"/>
    <w:rsid w:val="006B25B5"/>
    <w:rsid w:val="006E1EF5"/>
    <w:rsid w:val="006F527A"/>
    <w:rsid w:val="0070200D"/>
    <w:rsid w:val="00711DC4"/>
    <w:rsid w:val="007572B6"/>
    <w:rsid w:val="007A1B1F"/>
    <w:rsid w:val="007D1376"/>
    <w:rsid w:val="007F79BB"/>
    <w:rsid w:val="008026AA"/>
    <w:rsid w:val="0081017D"/>
    <w:rsid w:val="00824636"/>
    <w:rsid w:val="008255DE"/>
    <w:rsid w:val="00841A9E"/>
    <w:rsid w:val="00841F4A"/>
    <w:rsid w:val="00844EE7"/>
    <w:rsid w:val="00854C46"/>
    <w:rsid w:val="00873554"/>
    <w:rsid w:val="00880C08"/>
    <w:rsid w:val="00883AAD"/>
    <w:rsid w:val="00896609"/>
    <w:rsid w:val="008B7F59"/>
    <w:rsid w:val="008C7966"/>
    <w:rsid w:val="008D23AA"/>
    <w:rsid w:val="008D3F0D"/>
    <w:rsid w:val="008D5C02"/>
    <w:rsid w:val="008E469D"/>
    <w:rsid w:val="008F74C4"/>
    <w:rsid w:val="009007D4"/>
    <w:rsid w:val="0091254D"/>
    <w:rsid w:val="00954A41"/>
    <w:rsid w:val="00960B22"/>
    <w:rsid w:val="009749F9"/>
    <w:rsid w:val="00977C3F"/>
    <w:rsid w:val="00990C99"/>
    <w:rsid w:val="00991A50"/>
    <w:rsid w:val="009A3DEA"/>
    <w:rsid w:val="009B6C8F"/>
    <w:rsid w:val="009C36FD"/>
    <w:rsid w:val="009C743D"/>
    <w:rsid w:val="009D375B"/>
    <w:rsid w:val="009D378A"/>
    <w:rsid w:val="00A00D2C"/>
    <w:rsid w:val="00A037C7"/>
    <w:rsid w:val="00A13576"/>
    <w:rsid w:val="00A1437D"/>
    <w:rsid w:val="00A225DF"/>
    <w:rsid w:val="00A27F42"/>
    <w:rsid w:val="00A34997"/>
    <w:rsid w:val="00A37498"/>
    <w:rsid w:val="00A426A5"/>
    <w:rsid w:val="00A42F13"/>
    <w:rsid w:val="00A4532E"/>
    <w:rsid w:val="00A60533"/>
    <w:rsid w:val="00A6361F"/>
    <w:rsid w:val="00A709C1"/>
    <w:rsid w:val="00A725AF"/>
    <w:rsid w:val="00A75CFC"/>
    <w:rsid w:val="00A87C21"/>
    <w:rsid w:val="00A93CC1"/>
    <w:rsid w:val="00A95E3A"/>
    <w:rsid w:val="00AA3F20"/>
    <w:rsid w:val="00AD1EE7"/>
    <w:rsid w:val="00AD4FAC"/>
    <w:rsid w:val="00AE1D46"/>
    <w:rsid w:val="00AE3507"/>
    <w:rsid w:val="00B02092"/>
    <w:rsid w:val="00B02A05"/>
    <w:rsid w:val="00B02DD7"/>
    <w:rsid w:val="00B042E8"/>
    <w:rsid w:val="00B068A8"/>
    <w:rsid w:val="00B10C07"/>
    <w:rsid w:val="00B224B6"/>
    <w:rsid w:val="00B22E3F"/>
    <w:rsid w:val="00B27751"/>
    <w:rsid w:val="00B32F73"/>
    <w:rsid w:val="00B37F5A"/>
    <w:rsid w:val="00B4235C"/>
    <w:rsid w:val="00B46D48"/>
    <w:rsid w:val="00B6023E"/>
    <w:rsid w:val="00B6034C"/>
    <w:rsid w:val="00B62A78"/>
    <w:rsid w:val="00B742AF"/>
    <w:rsid w:val="00B7451A"/>
    <w:rsid w:val="00B80515"/>
    <w:rsid w:val="00B8112C"/>
    <w:rsid w:val="00B911B7"/>
    <w:rsid w:val="00B93D96"/>
    <w:rsid w:val="00BD1C8D"/>
    <w:rsid w:val="00BD3733"/>
    <w:rsid w:val="00BD6FF4"/>
    <w:rsid w:val="00BE026D"/>
    <w:rsid w:val="00BE410C"/>
    <w:rsid w:val="00BF7C6E"/>
    <w:rsid w:val="00C16DDC"/>
    <w:rsid w:val="00C21C1C"/>
    <w:rsid w:val="00C22265"/>
    <w:rsid w:val="00C277CE"/>
    <w:rsid w:val="00C31727"/>
    <w:rsid w:val="00C51C2A"/>
    <w:rsid w:val="00C5533D"/>
    <w:rsid w:val="00C74F8E"/>
    <w:rsid w:val="00C769CD"/>
    <w:rsid w:val="00C863E2"/>
    <w:rsid w:val="00C9472F"/>
    <w:rsid w:val="00CA791D"/>
    <w:rsid w:val="00CC057E"/>
    <w:rsid w:val="00CD2528"/>
    <w:rsid w:val="00CE2E66"/>
    <w:rsid w:val="00CF070A"/>
    <w:rsid w:val="00D0108C"/>
    <w:rsid w:val="00D13AC0"/>
    <w:rsid w:val="00D172FE"/>
    <w:rsid w:val="00D200BF"/>
    <w:rsid w:val="00D47CA9"/>
    <w:rsid w:val="00D47F2D"/>
    <w:rsid w:val="00D57D30"/>
    <w:rsid w:val="00D7332A"/>
    <w:rsid w:val="00D87258"/>
    <w:rsid w:val="00D96DDF"/>
    <w:rsid w:val="00D97CAB"/>
    <w:rsid w:val="00DA07CA"/>
    <w:rsid w:val="00DB099B"/>
    <w:rsid w:val="00DB7248"/>
    <w:rsid w:val="00DD0C4D"/>
    <w:rsid w:val="00DE1A4A"/>
    <w:rsid w:val="00DE3706"/>
    <w:rsid w:val="00DE5909"/>
    <w:rsid w:val="00DE7652"/>
    <w:rsid w:val="00DF5ED9"/>
    <w:rsid w:val="00E026E0"/>
    <w:rsid w:val="00E046B3"/>
    <w:rsid w:val="00E062B8"/>
    <w:rsid w:val="00E218FB"/>
    <w:rsid w:val="00E347E9"/>
    <w:rsid w:val="00E40301"/>
    <w:rsid w:val="00E4493B"/>
    <w:rsid w:val="00E45724"/>
    <w:rsid w:val="00E45886"/>
    <w:rsid w:val="00E51027"/>
    <w:rsid w:val="00E63F35"/>
    <w:rsid w:val="00E642BD"/>
    <w:rsid w:val="00E64AD3"/>
    <w:rsid w:val="00E80CFF"/>
    <w:rsid w:val="00E940DC"/>
    <w:rsid w:val="00EB211C"/>
    <w:rsid w:val="00EC03B6"/>
    <w:rsid w:val="00ED47C2"/>
    <w:rsid w:val="00EE4654"/>
    <w:rsid w:val="00EE7D6E"/>
    <w:rsid w:val="00EF57CD"/>
    <w:rsid w:val="00F20699"/>
    <w:rsid w:val="00F257CE"/>
    <w:rsid w:val="00F378C4"/>
    <w:rsid w:val="00F43BA1"/>
    <w:rsid w:val="00F468D1"/>
    <w:rsid w:val="00F475E5"/>
    <w:rsid w:val="00F62922"/>
    <w:rsid w:val="00F64DDA"/>
    <w:rsid w:val="00F7461E"/>
    <w:rsid w:val="00F84528"/>
    <w:rsid w:val="00F8489A"/>
    <w:rsid w:val="00F84D66"/>
    <w:rsid w:val="00F90207"/>
    <w:rsid w:val="00F93AF8"/>
    <w:rsid w:val="00F96D0F"/>
    <w:rsid w:val="00F96D5C"/>
    <w:rsid w:val="00FA5A4C"/>
    <w:rsid w:val="00FA7A69"/>
    <w:rsid w:val="00FD1EEE"/>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B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paragraph" w:styleId="Caption">
    <w:name w:val="caption"/>
    <w:basedOn w:val="Normal"/>
    <w:next w:val="Normal"/>
    <w:unhideWhenUsed/>
    <w:qFormat/>
    <w:rsid w:val="00AD1EE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050">
      <w:bodyDiv w:val="1"/>
      <w:marLeft w:val="0"/>
      <w:marRight w:val="0"/>
      <w:marTop w:val="0"/>
      <w:marBottom w:val="0"/>
      <w:divBdr>
        <w:top w:val="none" w:sz="0" w:space="0" w:color="auto"/>
        <w:left w:val="none" w:sz="0" w:space="0" w:color="auto"/>
        <w:bottom w:val="none" w:sz="0" w:space="0" w:color="auto"/>
        <w:right w:val="none" w:sz="0" w:space="0" w:color="auto"/>
      </w:divBdr>
    </w:div>
    <w:div w:id="112945359">
      <w:bodyDiv w:val="1"/>
      <w:marLeft w:val="0"/>
      <w:marRight w:val="0"/>
      <w:marTop w:val="0"/>
      <w:marBottom w:val="0"/>
      <w:divBdr>
        <w:top w:val="none" w:sz="0" w:space="0" w:color="auto"/>
        <w:left w:val="none" w:sz="0" w:space="0" w:color="auto"/>
        <w:bottom w:val="none" w:sz="0" w:space="0" w:color="auto"/>
        <w:right w:val="none" w:sz="0" w:space="0" w:color="auto"/>
      </w:divBdr>
    </w:div>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408691704">
      <w:bodyDiv w:val="1"/>
      <w:marLeft w:val="0"/>
      <w:marRight w:val="0"/>
      <w:marTop w:val="0"/>
      <w:marBottom w:val="0"/>
      <w:divBdr>
        <w:top w:val="none" w:sz="0" w:space="0" w:color="auto"/>
        <w:left w:val="none" w:sz="0" w:space="0" w:color="auto"/>
        <w:bottom w:val="none" w:sz="0" w:space="0" w:color="auto"/>
        <w:right w:val="none" w:sz="0" w:space="0" w:color="auto"/>
      </w:divBdr>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716272132">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783424887">
      <w:bodyDiv w:val="1"/>
      <w:marLeft w:val="0"/>
      <w:marRight w:val="0"/>
      <w:marTop w:val="0"/>
      <w:marBottom w:val="0"/>
      <w:divBdr>
        <w:top w:val="none" w:sz="0" w:space="0" w:color="auto"/>
        <w:left w:val="none" w:sz="0" w:space="0" w:color="auto"/>
        <w:bottom w:val="none" w:sz="0" w:space="0" w:color="auto"/>
        <w:right w:val="none" w:sz="0" w:space="0" w:color="auto"/>
      </w:divBdr>
    </w:div>
    <w:div w:id="1034497405">
      <w:bodyDiv w:val="1"/>
      <w:marLeft w:val="0"/>
      <w:marRight w:val="0"/>
      <w:marTop w:val="0"/>
      <w:marBottom w:val="0"/>
      <w:divBdr>
        <w:top w:val="none" w:sz="0" w:space="0" w:color="auto"/>
        <w:left w:val="none" w:sz="0" w:space="0" w:color="auto"/>
        <w:bottom w:val="none" w:sz="0" w:space="0" w:color="auto"/>
        <w:right w:val="none" w:sz="0" w:space="0" w:color="auto"/>
      </w:divBdr>
    </w:div>
    <w:div w:id="1099328022">
      <w:bodyDiv w:val="1"/>
      <w:marLeft w:val="0"/>
      <w:marRight w:val="0"/>
      <w:marTop w:val="0"/>
      <w:marBottom w:val="0"/>
      <w:divBdr>
        <w:top w:val="none" w:sz="0" w:space="0" w:color="auto"/>
        <w:left w:val="none" w:sz="0" w:space="0" w:color="auto"/>
        <w:bottom w:val="none" w:sz="0" w:space="0" w:color="auto"/>
        <w:right w:val="none" w:sz="0" w:space="0" w:color="auto"/>
      </w:divBdr>
    </w:div>
    <w:div w:id="1197619609">
      <w:bodyDiv w:val="1"/>
      <w:marLeft w:val="0"/>
      <w:marRight w:val="0"/>
      <w:marTop w:val="0"/>
      <w:marBottom w:val="0"/>
      <w:divBdr>
        <w:top w:val="none" w:sz="0" w:space="0" w:color="auto"/>
        <w:left w:val="none" w:sz="0" w:space="0" w:color="auto"/>
        <w:bottom w:val="none" w:sz="0" w:space="0" w:color="auto"/>
        <w:right w:val="none" w:sz="0" w:space="0" w:color="auto"/>
      </w:divBdr>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422408005">
      <w:bodyDiv w:val="1"/>
      <w:marLeft w:val="0"/>
      <w:marRight w:val="0"/>
      <w:marTop w:val="0"/>
      <w:marBottom w:val="0"/>
      <w:divBdr>
        <w:top w:val="none" w:sz="0" w:space="0" w:color="auto"/>
        <w:left w:val="none" w:sz="0" w:space="0" w:color="auto"/>
        <w:bottom w:val="none" w:sz="0" w:space="0" w:color="auto"/>
        <w:right w:val="none" w:sz="0" w:space="0" w:color="auto"/>
      </w:divBdr>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62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T\Downloads\BUS520%20Data%20and%20Scenari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T\Downloads\BUS520%20Data%20and%20Scenari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T\Downloads\BUS520%20Data%20and%20Scenari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T\Downloads\BUS520%20Data%20and%20Scenari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T\Downloads\BUS520%20Data%20and%20Scenario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T\Downloads\BUS520%20Data%20and%20Scenarios%20(2).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a:t>
            </a:r>
          </a:p>
        </c:rich>
      </c:tx>
      <c:layout>
        <c:manualLayout>
          <c:xMode val="edge"/>
          <c:yMode val="edge"/>
          <c:x val="0.4693055555555555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'SURVEY BUS520 10MAR25FT'!$M$6</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'SURVEY BUS520 10MAR25FT'!$K$7:$L$8</c:f>
              <c:multiLvlStrCache>
                <c:ptCount val="2"/>
                <c:lvl>
                  <c:pt idx="0">
                    <c:v>Male</c:v>
                  </c:pt>
                  <c:pt idx="1">
                    <c:v>Female</c:v>
                  </c:pt>
                </c:lvl>
                <c:lvl>
                  <c:pt idx="0">
                    <c:v>1</c:v>
                  </c:pt>
                  <c:pt idx="1">
                    <c:v>2</c:v>
                  </c:pt>
                </c:lvl>
              </c:multiLvlStrCache>
            </c:multiLvlStrRef>
          </c:cat>
          <c:val>
            <c:numRef>
              <c:f>'SURVEY BUS520 10MAR25FT'!$M$7:$M$8</c:f>
              <c:numCache>
                <c:formatCode>0</c:formatCode>
                <c:ptCount val="2"/>
                <c:pt idx="0">
                  <c:v>133</c:v>
                </c:pt>
                <c:pt idx="1">
                  <c:v>133</c:v>
                </c:pt>
              </c:numCache>
            </c:numRef>
          </c:val>
          <c:extLst>
            <c:ext xmlns:c16="http://schemas.microsoft.com/office/drawing/2014/chart" uri="{C3380CC4-5D6E-409C-BE32-E72D297353CC}">
              <c16:uniqueId val="{00000000-81D8-43D0-BA56-4C49838EE512}"/>
            </c:ext>
          </c:extLst>
        </c:ser>
        <c:dLbls>
          <c:dLblPos val="outEnd"/>
          <c:showLegendKey val="0"/>
          <c:showVal val="1"/>
          <c:showCatName val="0"/>
          <c:showSerName val="0"/>
          <c:showPercent val="0"/>
          <c:showBubbleSize val="0"/>
        </c:dLbls>
        <c:gapWidth val="219"/>
        <c:overlap val="-27"/>
        <c:axId val="146684687"/>
        <c:axId val="146682767"/>
      </c:barChart>
      <c:catAx>
        <c:axId val="14668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82767"/>
        <c:crosses val="autoZero"/>
        <c:auto val="1"/>
        <c:lblAlgn val="ctr"/>
        <c:lblOffset val="100"/>
        <c:noMultiLvlLbl val="0"/>
      </c:catAx>
      <c:valAx>
        <c:axId val="1466827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8468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'SURVEY BUS520 10MAR25FT'!$M$9</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'SURVEY BUS520 10MAR25FT'!$K$10:$L$12</c:f>
              <c:multiLvlStrCache>
                <c:ptCount val="3"/>
                <c:lvl>
                  <c:pt idx="0">
                    <c:v>16 - 21</c:v>
                  </c:pt>
                  <c:pt idx="1">
                    <c:v>22 - 49</c:v>
                  </c:pt>
                  <c:pt idx="2">
                    <c:v>50 - 65</c:v>
                  </c:pt>
                </c:lvl>
                <c:lvl>
                  <c:pt idx="0">
                    <c:v>1</c:v>
                  </c:pt>
                  <c:pt idx="1">
                    <c:v>2</c:v>
                  </c:pt>
                  <c:pt idx="2">
                    <c:v>3</c:v>
                  </c:pt>
                </c:lvl>
              </c:multiLvlStrCache>
            </c:multiLvlStrRef>
          </c:cat>
          <c:val>
            <c:numRef>
              <c:f>'SURVEY BUS520 10MAR25FT'!$M$10:$M$12</c:f>
              <c:numCache>
                <c:formatCode>0</c:formatCode>
                <c:ptCount val="3"/>
                <c:pt idx="0">
                  <c:v>104</c:v>
                </c:pt>
                <c:pt idx="1">
                  <c:v>48</c:v>
                </c:pt>
                <c:pt idx="2">
                  <c:v>114</c:v>
                </c:pt>
              </c:numCache>
            </c:numRef>
          </c:val>
          <c:extLst>
            <c:ext xmlns:c16="http://schemas.microsoft.com/office/drawing/2014/chart" uri="{C3380CC4-5D6E-409C-BE32-E72D297353CC}">
              <c16:uniqueId val="{00000000-6B5C-4660-B037-77BC8B96EC21}"/>
            </c:ext>
          </c:extLst>
        </c:ser>
        <c:dLbls>
          <c:dLblPos val="outEnd"/>
          <c:showLegendKey val="0"/>
          <c:showVal val="1"/>
          <c:showCatName val="0"/>
          <c:showSerName val="0"/>
          <c:showPercent val="0"/>
          <c:showBubbleSize val="0"/>
        </c:dLbls>
        <c:gapWidth val="219"/>
        <c:overlap val="-27"/>
        <c:axId val="146689967"/>
        <c:axId val="146709647"/>
      </c:barChart>
      <c:catAx>
        <c:axId val="146689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09647"/>
        <c:crosses val="autoZero"/>
        <c:auto val="1"/>
        <c:lblAlgn val="ctr"/>
        <c:lblOffset val="100"/>
        <c:noMultiLvlLbl val="0"/>
      </c:catAx>
      <c:valAx>
        <c:axId val="1467096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8996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Departement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'SURVEY BUS520 10MAR25FT'!$M$13</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'SURVEY BUS520 10MAR25FT'!$K$14:$L$16</c:f>
              <c:multiLvlStrCache>
                <c:ptCount val="3"/>
                <c:lvl>
                  <c:pt idx="0">
                    <c:v>Front-Line Worker</c:v>
                  </c:pt>
                  <c:pt idx="1">
                    <c:v>Supervisor</c:v>
                  </c:pt>
                  <c:pt idx="2">
                    <c:v>Management</c:v>
                  </c:pt>
                </c:lvl>
                <c:lvl>
                  <c:pt idx="0">
                    <c:v>1</c:v>
                  </c:pt>
                  <c:pt idx="1">
                    <c:v>2</c:v>
                  </c:pt>
                  <c:pt idx="2">
                    <c:v>3</c:v>
                  </c:pt>
                </c:lvl>
              </c:multiLvlStrCache>
            </c:multiLvlStrRef>
          </c:cat>
          <c:val>
            <c:numRef>
              <c:f>'SURVEY BUS520 10MAR25FT'!$M$14:$M$16</c:f>
              <c:numCache>
                <c:formatCode>0</c:formatCode>
                <c:ptCount val="3"/>
                <c:pt idx="0">
                  <c:v>95</c:v>
                </c:pt>
                <c:pt idx="1">
                  <c:v>142</c:v>
                </c:pt>
                <c:pt idx="2">
                  <c:v>29</c:v>
                </c:pt>
              </c:numCache>
            </c:numRef>
          </c:val>
          <c:extLst>
            <c:ext xmlns:c16="http://schemas.microsoft.com/office/drawing/2014/chart" uri="{C3380CC4-5D6E-409C-BE32-E72D297353CC}">
              <c16:uniqueId val="{00000000-6CC7-497C-82ED-E5AC72D627EA}"/>
            </c:ext>
          </c:extLst>
        </c:ser>
        <c:dLbls>
          <c:dLblPos val="outEnd"/>
          <c:showLegendKey val="0"/>
          <c:showVal val="1"/>
          <c:showCatName val="0"/>
          <c:showSerName val="0"/>
          <c:showPercent val="0"/>
          <c:showBubbleSize val="0"/>
        </c:dLbls>
        <c:gapWidth val="219"/>
        <c:overlap val="-27"/>
        <c:axId val="450300463"/>
        <c:axId val="450300943"/>
      </c:barChart>
      <c:catAx>
        <c:axId val="450300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300943"/>
        <c:crosses val="autoZero"/>
        <c:auto val="1"/>
        <c:lblAlgn val="ctr"/>
        <c:lblOffset val="100"/>
        <c:noMultiLvlLbl val="0"/>
      </c:catAx>
      <c:valAx>
        <c:axId val="4503009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30046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Position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'SURVEY BUS520 10MAR25FT'!$M$17</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'SURVEY BUS520 10MAR25FT'!$K$18:$L$20</c:f>
              <c:multiLvlStrCache>
                <c:ptCount val="3"/>
                <c:lvl>
                  <c:pt idx="0">
                    <c:v>Hourly Employee Part-time</c:v>
                  </c:pt>
                  <c:pt idx="1">
                    <c:v>Hourly Employee Full-time</c:v>
                  </c:pt>
                  <c:pt idx="2">
                    <c:v>Salaried Employee</c:v>
                  </c:pt>
                </c:lvl>
                <c:lvl>
                  <c:pt idx="0">
                    <c:v>1</c:v>
                  </c:pt>
                  <c:pt idx="1">
                    <c:v>2</c:v>
                  </c:pt>
                  <c:pt idx="2">
                    <c:v>3</c:v>
                  </c:pt>
                </c:lvl>
              </c:multiLvlStrCache>
            </c:multiLvlStrRef>
          </c:cat>
          <c:val>
            <c:numRef>
              <c:f>'SURVEY BUS520 10MAR25FT'!$M$18:$M$20</c:f>
              <c:numCache>
                <c:formatCode>0</c:formatCode>
                <c:ptCount val="3"/>
                <c:pt idx="0">
                  <c:v>156</c:v>
                </c:pt>
                <c:pt idx="1">
                  <c:v>95</c:v>
                </c:pt>
                <c:pt idx="2">
                  <c:v>15</c:v>
                </c:pt>
              </c:numCache>
            </c:numRef>
          </c:val>
          <c:extLst>
            <c:ext xmlns:c16="http://schemas.microsoft.com/office/drawing/2014/chart" uri="{C3380CC4-5D6E-409C-BE32-E72D297353CC}">
              <c16:uniqueId val="{00000000-16E2-4B8B-A9A4-CC357C0AF082}"/>
            </c:ext>
          </c:extLst>
        </c:ser>
        <c:dLbls>
          <c:dLblPos val="outEnd"/>
          <c:showLegendKey val="0"/>
          <c:showVal val="1"/>
          <c:showCatName val="0"/>
          <c:showSerName val="0"/>
          <c:showPercent val="0"/>
          <c:showBubbleSize val="0"/>
        </c:dLbls>
        <c:gapWidth val="219"/>
        <c:overlap val="-27"/>
        <c:axId val="446291199"/>
        <c:axId val="446290239"/>
      </c:barChart>
      <c:catAx>
        <c:axId val="446291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290239"/>
        <c:crosses val="autoZero"/>
        <c:auto val="1"/>
        <c:lblAlgn val="ctr"/>
        <c:lblOffset val="100"/>
        <c:noMultiLvlLbl val="0"/>
      </c:catAx>
      <c:valAx>
        <c:axId val="446290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2911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Tenure with company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'SURVEY BUS520 10MAR25FT'!$M$21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'SURVEY BUS520 10MAR25FT'!$K$22:$L$24</c:f>
              <c:multiLvlStrCache>
                <c:ptCount val="3"/>
                <c:lvl>
                  <c:pt idx="0">
                    <c:v>Less than 2 years</c:v>
                  </c:pt>
                  <c:pt idx="1">
                    <c:v>2 to 5 years</c:v>
                  </c:pt>
                  <c:pt idx="2">
                    <c:v>Over 5 Years</c:v>
                  </c:pt>
                </c:lvl>
                <c:lvl>
                  <c:pt idx="0">
                    <c:v>1</c:v>
                  </c:pt>
                  <c:pt idx="1">
                    <c:v>2</c:v>
                  </c:pt>
                  <c:pt idx="2">
                    <c:v>3</c:v>
                  </c:pt>
                </c:lvl>
              </c:multiLvlStrCache>
            </c:multiLvlStrRef>
          </c:cat>
          <c:val>
            <c:numRef>
              <c:f>'SURVEY BUS520 10MAR25FT'!$M$22:$M$24</c:f>
              <c:numCache>
                <c:formatCode>0</c:formatCode>
                <c:ptCount val="3"/>
                <c:pt idx="0">
                  <c:v>133</c:v>
                </c:pt>
                <c:pt idx="1">
                  <c:v>74</c:v>
                </c:pt>
                <c:pt idx="2">
                  <c:v>59</c:v>
                </c:pt>
              </c:numCache>
            </c:numRef>
          </c:val>
          <c:extLst>
            <c:ext xmlns:c16="http://schemas.microsoft.com/office/drawing/2014/chart" uri="{C3380CC4-5D6E-409C-BE32-E72D297353CC}">
              <c16:uniqueId val="{00000000-16B4-4A18-BCF6-B74C20475EE7}"/>
            </c:ext>
          </c:extLst>
        </c:ser>
        <c:dLbls>
          <c:dLblPos val="outEnd"/>
          <c:showLegendKey val="0"/>
          <c:showVal val="1"/>
          <c:showCatName val="0"/>
          <c:showSerName val="0"/>
          <c:showPercent val="0"/>
          <c:showBubbleSize val="0"/>
        </c:dLbls>
        <c:gapWidth val="219"/>
        <c:overlap val="-27"/>
        <c:axId val="450691855"/>
        <c:axId val="450692815"/>
      </c:barChart>
      <c:catAx>
        <c:axId val="450691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692815"/>
        <c:crosses val="autoZero"/>
        <c:auto val="1"/>
        <c:lblAlgn val="ctr"/>
        <c:lblOffset val="100"/>
        <c:noMultiLvlLbl val="0"/>
      </c:catAx>
      <c:valAx>
        <c:axId val="4506928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691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[BUS520 Data and Scenarios (2).xlsx]Sheet1!PivotTable1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Sheet1!$A$1</c:f>
              <c:strCache>
                <c:ptCount val="1"/>
                <c:pt idx="0">
                  <c:v>Sum of Age</c:v>
                </c:pt>
              </c:strCache>
            </c:strRef>
          </c:tx>
          <c:spPr>
            <a:solidFill>
              <a:schemeClr val="accent1"/>
            </a:solidFill>
            <a:ln>
              <a:noFill/>
            </a:ln>
            <a:effectLst/>
          </c:spPr>
          <c:invertIfNegative val="0"/>
          <c:cat>
            <c:strRef>
              <c:f>Sheet1!$A$2</c:f>
              <c:strCache>
                <c:ptCount val="1"/>
                <c:pt idx="0">
                  <c:v>Total</c:v>
                </c:pt>
              </c:strCache>
            </c:strRef>
          </c:cat>
          <c:val>
            <c:numRef>
              <c:f>Sheet1!$A$2</c:f>
              <c:numCache>
                <c:formatCode>General</c:formatCode>
                <c:ptCount val="1"/>
                <c:pt idx="0">
                  <c:v>542</c:v>
                </c:pt>
              </c:numCache>
            </c:numRef>
          </c:val>
          <c:extLst>
            <c:ext xmlns:c16="http://schemas.microsoft.com/office/drawing/2014/chart" uri="{C3380CC4-5D6E-409C-BE32-E72D297353CC}">
              <c16:uniqueId val="{00000000-B0DA-4582-9642-F3A58A617ABD}"/>
            </c:ext>
          </c:extLst>
        </c:ser>
        <c:ser>
          <c:idx val="1"/>
          <c:order val="1"/>
          <c:tx>
            <c:strRef>
              <c:f>Sheet1!$B$1</c:f>
              <c:strCache>
                <c:ptCount val="1"/>
                <c:pt idx="0">
                  <c:v>Sum of Department</c:v>
                </c:pt>
              </c:strCache>
            </c:strRef>
          </c:tx>
          <c:spPr>
            <a:solidFill>
              <a:schemeClr val="accent2"/>
            </a:solidFill>
            <a:ln>
              <a:noFill/>
            </a:ln>
            <a:effectLst/>
          </c:spPr>
          <c:invertIfNegative val="0"/>
          <c:cat>
            <c:strRef>
              <c:f>Sheet1!$A$2</c:f>
              <c:strCache>
                <c:ptCount val="1"/>
                <c:pt idx="0">
                  <c:v>Total</c:v>
                </c:pt>
              </c:strCache>
            </c:strRef>
          </c:cat>
          <c:val>
            <c:numRef>
              <c:f>Sheet1!$B$2</c:f>
              <c:numCache>
                <c:formatCode>General</c:formatCode>
                <c:ptCount val="1"/>
                <c:pt idx="0">
                  <c:v>466</c:v>
                </c:pt>
              </c:numCache>
            </c:numRef>
          </c:val>
          <c:extLst>
            <c:ext xmlns:c16="http://schemas.microsoft.com/office/drawing/2014/chart" uri="{C3380CC4-5D6E-409C-BE32-E72D297353CC}">
              <c16:uniqueId val="{00000001-B0DA-4582-9642-F3A58A617ABD}"/>
            </c:ext>
          </c:extLst>
        </c:ser>
        <c:dLbls>
          <c:showLegendKey val="0"/>
          <c:showVal val="0"/>
          <c:showCatName val="0"/>
          <c:showSerName val="0"/>
          <c:showPercent val="0"/>
          <c:showBubbleSize val="0"/>
        </c:dLbls>
        <c:gapWidth val="219"/>
        <c:overlap val="-27"/>
        <c:axId val="282753328"/>
        <c:axId val="282734128"/>
      </c:barChart>
      <c:catAx>
        <c:axId val="28275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2734128"/>
        <c:crosses val="autoZero"/>
        <c:auto val="1"/>
        <c:lblAlgn val="ctr"/>
        <c:lblOffset val="100"/>
        <c:noMultiLvlLbl val="0"/>
      </c:catAx>
      <c:valAx>
        <c:axId val="282734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27533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3993B-2BCA-47D5-8C23-7356268B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1336</Words>
  <Characters>7620</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2021-06-01T16:30:00Z</dcterms:created>
  <dcterms:modified xsi:type="dcterms:W3CDTF">2025-03-25T16:52:00Z</dcterms:modified>
</cp:coreProperties>
</file>