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67DCD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9AA434B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466FA396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D8CF4B9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253C824D" w14:textId="619D2A10" w:rsidR="00286395" w:rsidRPr="00B224B6" w:rsidRDefault="00F378C4" w:rsidP="00F378C4">
      <w:pPr>
        <w:spacing w:line="480" w:lineRule="auto"/>
        <w:jc w:val="center"/>
        <w:rPr>
          <w:b/>
          <w:bCs/>
        </w:rPr>
      </w:pPr>
      <w:r>
        <w:rPr>
          <w:b/>
          <w:bCs/>
        </w:rPr>
        <w:t>BUS</w:t>
      </w:r>
      <w:r w:rsidR="00E94A62">
        <w:rPr>
          <w:b/>
          <w:bCs/>
        </w:rPr>
        <w:t>530</w:t>
      </w:r>
      <w:r w:rsidR="003C7F15">
        <w:rPr>
          <w:b/>
          <w:bCs/>
        </w:rPr>
        <w:t xml:space="preserve"> </w:t>
      </w:r>
      <w:r w:rsidR="00352229">
        <w:rPr>
          <w:b/>
          <w:bCs/>
        </w:rPr>
        <w:t>Case</w:t>
      </w:r>
      <w:r w:rsidR="006624AB">
        <w:rPr>
          <w:b/>
          <w:bCs/>
        </w:rPr>
        <w:t xml:space="preserve"> </w:t>
      </w:r>
      <w:r w:rsidR="00E046B3">
        <w:rPr>
          <w:b/>
          <w:bCs/>
        </w:rPr>
        <w:t>1</w:t>
      </w:r>
    </w:p>
    <w:p w14:paraId="215330E4" w14:textId="77777777" w:rsidR="00286395" w:rsidRPr="00B224B6" w:rsidRDefault="00286395" w:rsidP="00B224B6">
      <w:pPr>
        <w:spacing w:line="480" w:lineRule="auto"/>
        <w:ind w:firstLine="720"/>
        <w:jc w:val="center"/>
      </w:pPr>
    </w:p>
    <w:p w14:paraId="0C9670E1" w14:textId="77777777" w:rsidR="00454CAF" w:rsidRDefault="00454CAF" w:rsidP="00F378C4">
      <w:pPr>
        <w:spacing w:line="480" w:lineRule="auto"/>
        <w:jc w:val="center"/>
      </w:pPr>
      <w:r>
        <w:t>Your Name</w:t>
      </w:r>
    </w:p>
    <w:p w14:paraId="02750D95" w14:textId="77777777" w:rsidR="00454CAF" w:rsidRDefault="00454CAF" w:rsidP="00F378C4">
      <w:pPr>
        <w:spacing w:line="480" w:lineRule="auto"/>
        <w:jc w:val="center"/>
      </w:pPr>
      <w:r>
        <w:t xml:space="preserve">Trident University International </w:t>
      </w:r>
    </w:p>
    <w:p w14:paraId="3002A249" w14:textId="77A80629" w:rsidR="002C7462" w:rsidRDefault="002C7462" w:rsidP="00F378C4">
      <w:pPr>
        <w:spacing w:line="480" w:lineRule="auto"/>
        <w:jc w:val="center"/>
      </w:pPr>
      <w:r w:rsidRPr="002C7462">
        <w:t>BUS</w:t>
      </w:r>
      <w:r w:rsidR="00E94A62">
        <w:t>530</w:t>
      </w:r>
      <w:r w:rsidRPr="002C7462">
        <w:t xml:space="preserve"> </w:t>
      </w:r>
      <w:r w:rsidR="00E94A62">
        <w:t>Managerial Economics</w:t>
      </w:r>
    </w:p>
    <w:p w14:paraId="54C389E1" w14:textId="7A086B20" w:rsidR="00844EE7" w:rsidRPr="00B224B6" w:rsidRDefault="00454CAF" w:rsidP="00F378C4">
      <w:pPr>
        <w:spacing w:line="480" w:lineRule="auto"/>
        <w:jc w:val="center"/>
      </w:pPr>
      <w:r>
        <w:t>Due Date</w:t>
      </w:r>
    </w:p>
    <w:p w14:paraId="6C8D5EF8" w14:textId="56D46919" w:rsidR="003C7F15" w:rsidRPr="00B224B6" w:rsidRDefault="00352E8D" w:rsidP="003C7F15">
      <w:pPr>
        <w:spacing w:line="480" w:lineRule="auto"/>
        <w:jc w:val="center"/>
        <w:rPr>
          <w:b/>
          <w:bCs/>
        </w:rPr>
      </w:pPr>
      <w:r w:rsidRPr="00B224B6">
        <w:br w:type="page"/>
      </w:r>
    </w:p>
    <w:p w14:paraId="1DF862F2" w14:textId="229FD9DB" w:rsidR="00D200BF" w:rsidRDefault="00F378C4" w:rsidP="00B224B6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BUS</w:t>
      </w:r>
      <w:r w:rsidR="00E94A62">
        <w:rPr>
          <w:b/>
          <w:bCs/>
        </w:rPr>
        <w:t>530</w:t>
      </w:r>
      <w:r w:rsidR="003C7F15">
        <w:rPr>
          <w:b/>
          <w:bCs/>
        </w:rPr>
        <w:t xml:space="preserve"> </w:t>
      </w:r>
      <w:r w:rsidR="00352229">
        <w:rPr>
          <w:b/>
          <w:bCs/>
        </w:rPr>
        <w:t>Case</w:t>
      </w:r>
      <w:r w:rsidR="006624AB">
        <w:rPr>
          <w:b/>
          <w:bCs/>
        </w:rPr>
        <w:t xml:space="preserve"> </w:t>
      </w:r>
      <w:r w:rsidR="00E046B3">
        <w:rPr>
          <w:b/>
          <w:bCs/>
        </w:rPr>
        <w:t>1</w:t>
      </w:r>
    </w:p>
    <w:p w14:paraId="3C4F04AF" w14:textId="77777777" w:rsidR="004043FC" w:rsidRPr="004043FC" w:rsidRDefault="004043FC" w:rsidP="004043FC">
      <w:pPr>
        <w:spacing w:line="480" w:lineRule="auto"/>
        <w:jc w:val="center"/>
        <w:rPr>
          <w:b/>
          <w:bCs/>
        </w:rPr>
      </w:pPr>
      <w:r w:rsidRPr="004043FC">
        <w:rPr>
          <w:b/>
          <w:bCs/>
        </w:rPr>
        <w:t>Tea and Coffee Commodity Analysis: Supply, Demand, and Market Trends</w:t>
      </w:r>
    </w:p>
    <w:p w14:paraId="1384339B" w14:textId="1982315F" w:rsidR="004043FC" w:rsidRPr="00CB1DD4" w:rsidRDefault="004043FC" w:rsidP="001C10D9">
      <w:pPr>
        <w:spacing w:line="480" w:lineRule="auto"/>
        <w:jc w:val="both"/>
      </w:pPr>
      <w:r w:rsidRPr="00CB1DD4">
        <w:tab/>
        <w:t xml:space="preserve">As per the studies which tends to </w:t>
      </w:r>
      <w:proofErr w:type="spellStart"/>
      <w:r w:rsidRPr="00CB1DD4">
        <w:t>analysed</w:t>
      </w:r>
      <w:proofErr w:type="spellEnd"/>
      <w:r w:rsidRPr="00CB1DD4">
        <w:t xml:space="preserve"> that the commodity price fluctuations offer a unique window into the dynamic interplay of global economic forces and this analysis examines the 6-month price trends of Tea, Mombasa and Coffee, Arabica, both categorized under non-energy agricultural beverages</w:t>
      </w:r>
      <w:r w:rsidR="00CB1DD4" w:rsidRPr="00CB1DD4">
        <w:t xml:space="preserve"> (</w:t>
      </w:r>
      <w:r w:rsidR="00CB1DD4" w:rsidRPr="00CB1DD4">
        <w:rPr>
          <w:color w:val="000000"/>
        </w:rPr>
        <w:t>Tan., 2024</w:t>
      </w:r>
      <w:r w:rsidR="00CB1DD4" w:rsidRPr="00CB1DD4">
        <w:t>)</w:t>
      </w:r>
      <w:r w:rsidRPr="00CB1DD4">
        <w:t>. One of the major objectives of this case is to assess the economic factors driving these changes using real-world data and apply fundamental supply and demand theory for market interpretation</w:t>
      </w:r>
      <w:r w:rsidR="00CB1DD4" w:rsidRPr="00CB1DD4">
        <w:t xml:space="preserve"> (</w:t>
      </w:r>
      <w:r w:rsidR="00CB1DD4" w:rsidRPr="00CB1DD4">
        <w:rPr>
          <w:color w:val="000000"/>
        </w:rPr>
        <w:t>Jolliffe., 2025</w:t>
      </w:r>
      <w:r w:rsidR="00CB1DD4" w:rsidRPr="00CB1DD4">
        <w:t>)</w:t>
      </w:r>
      <w:r w:rsidRPr="00CB1DD4">
        <w:t>.</w:t>
      </w:r>
    </w:p>
    <w:p w14:paraId="0CC407BF" w14:textId="5F1ACCA1" w:rsidR="00454CAF" w:rsidRPr="00454CAF" w:rsidRDefault="00EB65C0" w:rsidP="00595B65">
      <w:pPr>
        <w:spacing w:line="48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6-Month Commodity Analysis</w:t>
      </w:r>
    </w:p>
    <w:p w14:paraId="3261CB8D" w14:textId="614B427F" w:rsidR="004043FC" w:rsidRDefault="004043FC" w:rsidP="00080609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However, on the basis of </w:t>
      </w:r>
      <w:r w:rsidRPr="004043FC">
        <w:rPr>
          <w:rFonts w:eastAsia="Calibri"/>
        </w:rPr>
        <w:t xml:space="preserve">primary commodity </w:t>
      </w:r>
      <w:r>
        <w:rPr>
          <w:rFonts w:eastAsia="Calibri"/>
        </w:rPr>
        <w:t xml:space="preserve">which was </w:t>
      </w:r>
      <w:r w:rsidRPr="004043FC">
        <w:rPr>
          <w:rFonts w:eastAsia="Calibri"/>
        </w:rPr>
        <w:t>selected is Tea, Mombasa</w:t>
      </w:r>
      <w:r>
        <w:rPr>
          <w:rFonts w:eastAsia="Calibri"/>
        </w:rPr>
        <w:t xml:space="preserve"> and o</w:t>
      </w:r>
      <w:r w:rsidRPr="004043FC">
        <w:rPr>
          <w:rFonts w:eastAsia="Calibri"/>
        </w:rPr>
        <w:t xml:space="preserve">ver five recent quarters, the average prices per kilogram were: $2.19 (Q1 2024), $2.21 (Q2 2024), $2.16 (Q3 2024), $2.17 (Q4 2024), and $2.24 (Q1 2025). </w:t>
      </w:r>
      <w:r>
        <w:rPr>
          <w:rFonts w:eastAsia="Calibri"/>
        </w:rPr>
        <w:t xml:space="preserve">Based on the </w:t>
      </w:r>
      <w:r w:rsidRPr="004043FC">
        <w:rPr>
          <w:rFonts w:eastAsia="Calibri"/>
        </w:rPr>
        <w:t>Tea, it experienced slight price instability, with modest declines in Q3 and Q4 followed by a mild uptick in Q1 2025</w:t>
      </w:r>
      <w:r>
        <w:rPr>
          <w:rFonts w:eastAsia="Calibri"/>
        </w:rPr>
        <w:t xml:space="preserve"> and t</w:t>
      </w:r>
      <w:r w:rsidRPr="004043FC">
        <w:rPr>
          <w:rFonts w:eastAsia="Calibri"/>
        </w:rPr>
        <w:t xml:space="preserve">hese fluctuations reflect supply-side sensitivities in East Africa, where climatic variability can affect harvest output. </w:t>
      </w:r>
      <w:r>
        <w:rPr>
          <w:rFonts w:eastAsia="Calibri"/>
        </w:rPr>
        <w:t xml:space="preserve">It tends to be </w:t>
      </w:r>
      <w:proofErr w:type="spellStart"/>
      <w:r>
        <w:rPr>
          <w:rFonts w:eastAsia="Calibri"/>
        </w:rPr>
        <w:t>analysed</w:t>
      </w:r>
      <w:proofErr w:type="spellEnd"/>
      <w:r>
        <w:rPr>
          <w:rFonts w:eastAsia="Calibri"/>
        </w:rPr>
        <w:t xml:space="preserve"> o</w:t>
      </w:r>
      <w:r w:rsidRPr="004043FC">
        <w:rPr>
          <w:rFonts w:eastAsia="Calibri"/>
        </w:rPr>
        <w:t xml:space="preserve">n the demand side, global tea consumption remains stable but lacks robust growth due to competition from substitute beverages like coffee and health-based consumer preferences shifting to herbal options (Deci &amp; Ryan, 2021). </w:t>
      </w:r>
      <w:r>
        <w:rPr>
          <w:rFonts w:eastAsia="Calibri"/>
        </w:rPr>
        <w:t>In accordance with t</w:t>
      </w:r>
      <w:r w:rsidRPr="004043FC">
        <w:rPr>
          <w:rFonts w:eastAsia="Calibri"/>
        </w:rPr>
        <w:t>he minor rise in Q1 2025 likely corresponds with regional supply tightening or increased demand due to colder seasonal consumption patterns.</w:t>
      </w:r>
    </w:p>
    <w:p w14:paraId="13447272" w14:textId="17AC13A9" w:rsidR="0006434B" w:rsidRDefault="0006434B" w:rsidP="004043FC">
      <w:pPr>
        <w:spacing w:line="480" w:lineRule="auto"/>
        <w:ind w:firstLine="720"/>
        <w:rPr>
          <w:rFonts w:eastAsia="Calibri"/>
        </w:rPr>
      </w:pPr>
      <w:r>
        <w:rPr>
          <w:noProof/>
        </w:rPr>
        <w:lastRenderedPageBreak/>
        <w:drawing>
          <wp:inline distT="0" distB="0" distL="0" distR="0" wp14:anchorId="3F7AF045" wp14:editId="6A60518B">
            <wp:extent cx="4572000" cy="2743200"/>
            <wp:effectExtent l="0" t="0" r="0" b="0"/>
            <wp:docPr id="1308548654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423316C-61AE-1045-C3C6-8C50A8A9A1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DE67DC" w14:textId="78EF9EFC" w:rsidR="0006434B" w:rsidRDefault="0006434B" w:rsidP="0006434B">
      <w:pPr>
        <w:pStyle w:val="Caption"/>
        <w:ind w:firstLine="360"/>
      </w:pPr>
      <w:r>
        <w:t xml:space="preserve">Figure </w:t>
      </w:r>
      <w:r w:rsidR="002646D5">
        <w:rPr>
          <w:noProof/>
        </w:rPr>
        <w:fldChar w:fldCharType="begin"/>
      </w:r>
      <w:r w:rsidR="002646D5">
        <w:rPr>
          <w:noProof/>
        </w:rPr>
        <w:instrText xml:space="preserve"> SEQ Figure \* ARABIC </w:instrText>
      </w:r>
      <w:r w:rsidR="002646D5">
        <w:rPr>
          <w:noProof/>
        </w:rPr>
        <w:fldChar w:fldCharType="separate"/>
      </w:r>
      <w:r w:rsidR="00CB0016">
        <w:rPr>
          <w:noProof/>
        </w:rPr>
        <w:t>1</w:t>
      </w:r>
      <w:r w:rsidR="002646D5">
        <w:rPr>
          <w:noProof/>
        </w:rPr>
        <w:fldChar w:fldCharType="end"/>
      </w:r>
      <w:r>
        <w:t xml:space="preserve">: Tea, Mombasa analysis  </w:t>
      </w:r>
    </w:p>
    <w:p w14:paraId="23C889E5" w14:textId="131F4150" w:rsidR="0006434B" w:rsidRDefault="0006434B" w:rsidP="0006434B">
      <w:pPr>
        <w:jc w:val="center"/>
      </w:pPr>
      <w:r>
        <w:rPr>
          <w:noProof/>
        </w:rPr>
        <w:drawing>
          <wp:inline distT="0" distB="0" distL="0" distR="0" wp14:anchorId="31195C24" wp14:editId="34F0A39D">
            <wp:extent cx="4572000" cy="2743200"/>
            <wp:effectExtent l="0" t="0" r="0" b="0"/>
            <wp:docPr id="317045658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DEB18F2-E56C-EA2C-0661-B15A255850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286CE0" w14:textId="71874A7A" w:rsidR="0006434B" w:rsidRPr="004043FC" w:rsidRDefault="0006434B" w:rsidP="0006434B">
      <w:pPr>
        <w:pStyle w:val="Caption"/>
        <w:ind w:firstLine="360"/>
      </w:pPr>
      <w:r>
        <w:t xml:space="preserve">Figure </w:t>
      </w:r>
      <w:r w:rsidR="002646D5">
        <w:rPr>
          <w:noProof/>
        </w:rPr>
        <w:fldChar w:fldCharType="begin"/>
      </w:r>
      <w:r w:rsidR="002646D5">
        <w:rPr>
          <w:noProof/>
        </w:rPr>
        <w:instrText xml:space="preserve"> SEQ</w:instrText>
      </w:r>
      <w:r w:rsidR="002646D5">
        <w:rPr>
          <w:noProof/>
        </w:rPr>
        <w:instrText xml:space="preserve"> Figure \* ARABIC </w:instrText>
      </w:r>
      <w:r w:rsidR="002646D5">
        <w:rPr>
          <w:noProof/>
        </w:rPr>
        <w:fldChar w:fldCharType="separate"/>
      </w:r>
      <w:r w:rsidR="00CB0016">
        <w:rPr>
          <w:noProof/>
        </w:rPr>
        <w:t>2</w:t>
      </w:r>
      <w:r w:rsidR="002646D5">
        <w:rPr>
          <w:noProof/>
        </w:rPr>
        <w:fldChar w:fldCharType="end"/>
      </w:r>
      <w:r>
        <w:t xml:space="preserve">: Coffee, Arabica analysis </w:t>
      </w:r>
    </w:p>
    <w:p w14:paraId="78B5FD6A" w14:textId="3B09CA5F" w:rsidR="00EB65C0" w:rsidRPr="00EB65C0" w:rsidRDefault="0006434B" w:rsidP="0050533C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As per the above graphs which </w:t>
      </w:r>
      <w:r w:rsidR="00CB1DD4">
        <w:rPr>
          <w:rFonts w:eastAsia="Calibri"/>
        </w:rPr>
        <w:t>show</w:t>
      </w:r>
      <w:r>
        <w:rPr>
          <w:rFonts w:eastAsia="Calibri"/>
        </w:rPr>
        <w:t xml:space="preserve"> that the </w:t>
      </w:r>
      <w:r w:rsidRPr="0006434B">
        <w:rPr>
          <w:rFonts w:eastAsia="Calibri"/>
        </w:rPr>
        <w:t>Coffee, Arabica was selected as the comparative commodity</w:t>
      </w:r>
      <w:r>
        <w:rPr>
          <w:rFonts w:eastAsia="Calibri"/>
        </w:rPr>
        <w:t xml:space="preserve"> and i</w:t>
      </w:r>
      <w:r w:rsidRPr="0006434B">
        <w:rPr>
          <w:rFonts w:eastAsia="Calibri"/>
        </w:rPr>
        <w:t xml:space="preserve">ts average prices per kilogram were: $4.56 (Q1 2024), $5.28 (Q2 2024), $5.85 (Q3 2024), $6.80 (Q4 2024), and $8.59 (Q1 2025). </w:t>
      </w:r>
      <w:r>
        <w:rPr>
          <w:rFonts w:eastAsia="Calibri"/>
        </w:rPr>
        <w:t>However, on the basis of that t</w:t>
      </w:r>
      <w:r w:rsidRPr="0006434B">
        <w:rPr>
          <w:rFonts w:eastAsia="Calibri"/>
        </w:rPr>
        <w:t xml:space="preserve">his represents a significant upward trend in price over the same timeframe. </w:t>
      </w:r>
      <w:r>
        <w:rPr>
          <w:rFonts w:eastAsia="Calibri"/>
        </w:rPr>
        <w:t xml:space="preserve">According to the </w:t>
      </w:r>
      <w:r w:rsidRPr="0006434B">
        <w:rPr>
          <w:rFonts w:eastAsia="Calibri"/>
        </w:rPr>
        <w:t xml:space="preserve">Coffee’s steady increase suggests both growing consumer demand and supply constraints in key exporting countries such as Brazil and Colombia. </w:t>
      </w:r>
      <w:r>
        <w:rPr>
          <w:rFonts w:eastAsia="Calibri"/>
        </w:rPr>
        <w:t xml:space="preserve">It also tends to </w:t>
      </w:r>
      <w:proofErr w:type="spellStart"/>
      <w:r>
        <w:rPr>
          <w:rFonts w:eastAsia="Calibri"/>
        </w:rPr>
        <w:t>analysed</w:t>
      </w:r>
      <w:proofErr w:type="spellEnd"/>
      <w:r>
        <w:rPr>
          <w:rFonts w:eastAsia="Calibri"/>
        </w:rPr>
        <w:t xml:space="preserve"> that the w</w:t>
      </w:r>
      <w:r w:rsidRPr="0006434B">
        <w:rPr>
          <w:rFonts w:eastAsia="Calibri"/>
        </w:rPr>
        <w:t>eather-</w:t>
      </w:r>
      <w:r w:rsidRPr="0006434B">
        <w:rPr>
          <w:rFonts w:eastAsia="Calibri"/>
        </w:rPr>
        <w:lastRenderedPageBreak/>
        <w:t>related disruptions, crop diseases like leaf rust, and increased global consumption have combined to elevate prices.</w:t>
      </w:r>
      <w:r>
        <w:rPr>
          <w:rFonts w:eastAsia="Calibri"/>
        </w:rPr>
        <w:t xml:space="preserve"> Based on the </w:t>
      </w:r>
      <w:r w:rsidRPr="0006434B">
        <w:rPr>
          <w:rFonts w:eastAsia="Calibri"/>
        </w:rPr>
        <w:t>specialty coffee market's expansion contributes to long-term demand growth (Ray et al., 2021)</w:t>
      </w:r>
      <w:r>
        <w:rPr>
          <w:rFonts w:eastAsia="Calibri"/>
        </w:rPr>
        <w:t>.</w:t>
      </w:r>
    </w:p>
    <w:p w14:paraId="12BA6998" w14:textId="79A98968" w:rsidR="00EB65C0" w:rsidRPr="00EB65C0" w:rsidRDefault="00EB65C0" w:rsidP="00EB65C0">
      <w:pPr>
        <w:spacing w:line="480" w:lineRule="auto"/>
        <w:jc w:val="center"/>
        <w:rPr>
          <w:rFonts w:eastAsia="Calibri"/>
          <w:b/>
          <w:bCs/>
        </w:rPr>
      </w:pPr>
      <w:bookmarkStart w:id="0" w:name="_Hlk73440849"/>
      <w:r>
        <w:rPr>
          <w:rFonts w:eastAsia="Calibri"/>
          <w:b/>
          <w:bCs/>
        </w:rPr>
        <w:t>Commodity Comparison</w:t>
      </w:r>
    </w:p>
    <w:p w14:paraId="2BC113A9" w14:textId="37DD8D2D" w:rsidR="0006434B" w:rsidRPr="0006434B" w:rsidRDefault="0006434B" w:rsidP="00963132">
      <w:pPr>
        <w:spacing w:line="480" w:lineRule="auto"/>
        <w:jc w:val="both"/>
        <w:rPr>
          <w:rFonts w:eastAsia="Calibri"/>
        </w:rPr>
      </w:pPr>
      <w:r>
        <w:rPr>
          <w:rFonts w:eastAsia="Calibri"/>
        </w:rPr>
        <w:tab/>
        <w:t>Based on t</w:t>
      </w:r>
      <w:r w:rsidRPr="0006434B">
        <w:rPr>
          <w:rFonts w:eastAsia="Calibri"/>
        </w:rPr>
        <w:t>he chart comparing quarter-over-quarter percentage changes illustrates a stark contrast between the two commodities</w:t>
      </w:r>
      <w:r>
        <w:rPr>
          <w:rFonts w:eastAsia="Calibri"/>
        </w:rPr>
        <w:t xml:space="preserve"> and w</w:t>
      </w:r>
      <w:r w:rsidRPr="0006434B">
        <w:rPr>
          <w:rFonts w:eastAsia="Calibri"/>
        </w:rPr>
        <w:t xml:space="preserve">hile tea's changes remain mostly within ±3%, coffee's quarterly growth exceeds 10%, peaking at over 26% in Q1 2025. </w:t>
      </w:r>
      <w:r>
        <w:rPr>
          <w:rFonts w:eastAsia="Calibri"/>
        </w:rPr>
        <w:t>According to t</w:t>
      </w:r>
      <w:r w:rsidRPr="0006434B">
        <w:rPr>
          <w:rFonts w:eastAsia="Calibri"/>
        </w:rPr>
        <w:t>his divergence underscores how market dynamics differ even within the same commodity category.</w:t>
      </w:r>
    </w:p>
    <w:p w14:paraId="1CB15FA1" w14:textId="774B3896" w:rsidR="00EB65C0" w:rsidRDefault="0006434B" w:rsidP="0006434B">
      <w:pPr>
        <w:spacing w:line="480" w:lineRule="auto"/>
        <w:jc w:val="center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1BC6C3C9" wp14:editId="541D1201">
            <wp:extent cx="5943600" cy="3566160"/>
            <wp:effectExtent l="0" t="0" r="0" b="0"/>
            <wp:docPr id="742263820" name="Picture 1" descr="A graph of a bar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263820" name="Picture 1" descr="A graph of a bar 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AD9FF" w14:textId="5F9C206C" w:rsidR="00CB0016" w:rsidRPr="00EB65C0" w:rsidRDefault="00CB0016" w:rsidP="00CB0016">
      <w:pPr>
        <w:pStyle w:val="Caption"/>
        <w:ind w:firstLine="720"/>
        <w:rPr>
          <w:rFonts w:eastAsia="Calibri"/>
        </w:rPr>
      </w:pPr>
      <w:r>
        <w:t xml:space="preserve">Figure </w:t>
      </w:r>
      <w:r w:rsidR="002646D5">
        <w:rPr>
          <w:noProof/>
        </w:rPr>
        <w:fldChar w:fldCharType="begin"/>
      </w:r>
      <w:r w:rsidR="002646D5">
        <w:rPr>
          <w:noProof/>
        </w:rPr>
        <w:instrText xml:space="preserve"> SEQ Figure \* ARABIC </w:instrText>
      </w:r>
      <w:r w:rsidR="002646D5">
        <w:rPr>
          <w:noProof/>
        </w:rPr>
        <w:fldChar w:fldCharType="separate"/>
      </w:r>
      <w:r>
        <w:rPr>
          <w:noProof/>
        </w:rPr>
        <w:t>3</w:t>
      </w:r>
      <w:r w:rsidR="002646D5">
        <w:rPr>
          <w:noProof/>
        </w:rPr>
        <w:fldChar w:fldCharType="end"/>
      </w:r>
      <w:r>
        <w:t xml:space="preserve">: Rate of change comparison analysis </w:t>
      </w:r>
    </w:p>
    <w:p w14:paraId="19DA6889" w14:textId="1163B765" w:rsidR="00EB65C0" w:rsidRPr="00EB65C0" w:rsidRDefault="00EB65C0" w:rsidP="00EB65C0">
      <w:pPr>
        <w:spacing w:line="48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Commodity Index</w:t>
      </w:r>
    </w:p>
    <w:p w14:paraId="43539949" w14:textId="474661C3" w:rsidR="00EB65C0" w:rsidRDefault="00CB0016" w:rsidP="00BB155F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>In accordance with the c</w:t>
      </w:r>
      <w:r w:rsidRPr="00CB0016">
        <w:rPr>
          <w:rFonts w:eastAsia="Calibri"/>
        </w:rPr>
        <w:t xml:space="preserve">ommodity Index for beverages provides broader context. </w:t>
      </w:r>
      <w:r>
        <w:rPr>
          <w:rFonts w:eastAsia="Calibri"/>
        </w:rPr>
        <w:t>However, on the basis of i</w:t>
      </w:r>
      <w:r w:rsidRPr="00CB0016">
        <w:rPr>
          <w:rFonts w:eastAsia="Calibri"/>
        </w:rPr>
        <w:t>ndex values from Q1 2024 to Q1 2025 were: 140.4, 187.3, 176.7, 201.1, and 232.3. These figures indicate a rising trend in beverage commodity prices overall</w:t>
      </w:r>
      <w:r>
        <w:rPr>
          <w:rFonts w:eastAsia="Calibri"/>
        </w:rPr>
        <w:t xml:space="preserve"> and </w:t>
      </w:r>
      <w:r>
        <w:rPr>
          <w:rFonts w:eastAsia="Calibri"/>
        </w:rPr>
        <w:lastRenderedPageBreak/>
        <w:t>t</w:t>
      </w:r>
      <w:r w:rsidRPr="00CB0016">
        <w:rPr>
          <w:rFonts w:eastAsia="Calibri"/>
        </w:rPr>
        <w:t>he index rose nearly 65% over five quarters</w:t>
      </w:r>
      <w:r>
        <w:rPr>
          <w:rFonts w:eastAsia="Calibri"/>
        </w:rPr>
        <w:t xml:space="preserve"> and t</w:t>
      </w:r>
      <w:r w:rsidRPr="00CB0016">
        <w:rPr>
          <w:rFonts w:eastAsia="Calibri"/>
        </w:rPr>
        <w:t>his suggests that factors influencing the prices of tea and coffee are consistent with industry-wide dynamics—such as increased global demand, higher transport and labor costs, and climate impacts on agricultural production (Herzberg, 2022).</w:t>
      </w:r>
    </w:p>
    <w:p w14:paraId="0450A87F" w14:textId="3A9CC216" w:rsidR="00CB0016" w:rsidRDefault="00CB0016" w:rsidP="00CB0016">
      <w:pPr>
        <w:spacing w:line="480" w:lineRule="auto"/>
        <w:ind w:firstLine="720"/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2ACE9951" wp14:editId="52DC824E">
            <wp:extent cx="4572000" cy="2743200"/>
            <wp:effectExtent l="0" t="0" r="0" b="0"/>
            <wp:docPr id="870847850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6222B97-4EC4-2F44-FCEA-C86F4560BF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EDFF30B" w14:textId="5AB449E3" w:rsidR="00CB0016" w:rsidRPr="00EB65C0" w:rsidRDefault="00CB0016" w:rsidP="00CB0016">
      <w:pPr>
        <w:pStyle w:val="Caption"/>
        <w:ind w:firstLine="720"/>
        <w:rPr>
          <w:rFonts w:eastAsia="Calibri"/>
        </w:rPr>
      </w:pPr>
      <w:r>
        <w:t xml:space="preserve">Figure </w:t>
      </w:r>
      <w:r w:rsidR="002646D5">
        <w:rPr>
          <w:noProof/>
        </w:rPr>
        <w:fldChar w:fldCharType="begin"/>
      </w:r>
      <w:r w:rsidR="002646D5">
        <w:rPr>
          <w:noProof/>
        </w:rPr>
        <w:instrText xml:space="preserve"> SEQ Figure \* ARABIC </w:instrText>
      </w:r>
      <w:r w:rsidR="002646D5">
        <w:rPr>
          <w:noProof/>
        </w:rPr>
        <w:fldChar w:fldCharType="separate"/>
      </w:r>
      <w:r>
        <w:rPr>
          <w:noProof/>
        </w:rPr>
        <w:t>4</w:t>
      </w:r>
      <w:r w:rsidR="002646D5">
        <w:rPr>
          <w:noProof/>
        </w:rPr>
        <w:fldChar w:fldCharType="end"/>
      </w:r>
      <w:r>
        <w:t>: Index value analysis</w:t>
      </w:r>
    </w:p>
    <w:bookmarkEnd w:id="0"/>
    <w:p w14:paraId="203FCD47" w14:textId="60123635" w:rsidR="00EB65C0" w:rsidRDefault="00EB65C0" w:rsidP="00EB65C0">
      <w:pPr>
        <w:spacing w:line="48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Overall Analysis</w:t>
      </w:r>
    </w:p>
    <w:p w14:paraId="5A24564A" w14:textId="243775EA" w:rsidR="00CB0016" w:rsidRPr="00CB0016" w:rsidRDefault="00CB0016" w:rsidP="00B957E4">
      <w:pPr>
        <w:spacing w:line="480" w:lineRule="auto"/>
        <w:jc w:val="both"/>
        <w:rPr>
          <w:rFonts w:eastAsia="Calibri"/>
        </w:rPr>
      </w:pPr>
      <w:r w:rsidRPr="00CB0016">
        <w:rPr>
          <w:rFonts w:eastAsia="Calibri"/>
        </w:rPr>
        <w:tab/>
      </w:r>
      <w:r>
        <w:rPr>
          <w:rFonts w:eastAsia="Calibri"/>
        </w:rPr>
        <w:t>It is evident from the above studies that the p</w:t>
      </w:r>
      <w:r w:rsidRPr="00CB0016">
        <w:rPr>
          <w:rFonts w:eastAsia="Calibri"/>
        </w:rPr>
        <w:t xml:space="preserve">rice changes in raw commodities influence the demand for their finished products. </w:t>
      </w:r>
      <w:r>
        <w:rPr>
          <w:rFonts w:eastAsia="Calibri"/>
        </w:rPr>
        <w:t xml:space="preserve">Based on the </w:t>
      </w:r>
      <w:r w:rsidRPr="00CB0016">
        <w:rPr>
          <w:rFonts w:eastAsia="Calibri"/>
        </w:rPr>
        <w:t xml:space="preserve">case of tea, stable pricing may encourage consumer loyalty, but the limited price rise means producers may struggle with margin compression if input costs rise. </w:t>
      </w:r>
      <w:r>
        <w:rPr>
          <w:rFonts w:eastAsia="Calibri"/>
        </w:rPr>
        <w:t xml:space="preserve">Nevertheless, it also tends to </w:t>
      </w:r>
      <w:r w:rsidR="00F9619D">
        <w:rPr>
          <w:rFonts w:eastAsia="Calibri"/>
        </w:rPr>
        <w:t>be comprised</w:t>
      </w:r>
      <w:r>
        <w:rPr>
          <w:rFonts w:eastAsia="Calibri"/>
        </w:rPr>
        <w:t xml:space="preserve"> of c</w:t>
      </w:r>
      <w:r w:rsidRPr="00CB0016">
        <w:rPr>
          <w:rFonts w:eastAsia="Calibri"/>
        </w:rPr>
        <w:t>onsumers</w:t>
      </w:r>
      <w:r>
        <w:rPr>
          <w:rFonts w:eastAsia="Calibri"/>
        </w:rPr>
        <w:t xml:space="preserve"> which</w:t>
      </w:r>
      <w:r w:rsidRPr="00CB0016">
        <w:rPr>
          <w:rFonts w:eastAsia="Calibri"/>
        </w:rPr>
        <w:t xml:space="preserve"> may switch to complementary beverages, such as juice or herbal infusions, depending on pricing and health trends. </w:t>
      </w:r>
      <w:r>
        <w:rPr>
          <w:rFonts w:eastAsia="Calibri"/>
        </w:rPr>
        <w:t xml:space="preserve">One of the major </w:t>
      </w:r>
      <w:r w:rsidR="00F9619D">
        <w:rPr>
          <w:rFonts w:eastAsia="Calibri"/>
        </w:rPr>
        <w:t>examples</w:t>
      </w:r>
      <w:r>
        <w:rPr>
          <w:rFonts w:eastAsia="Calibri"/>
        </w:rPr>
        <w:t xml:space="preserve"> consist </w:t>
      </w:r>
      <w:r w:rsidR="00F9619D">
        <w:rPr>
          <w:rFonts w:eastAsia="Calibri"/>
        </w:rPr>
        <w:t>of</w:t>
      </w:r>
      <w:r w:rsidRPr="00CB0016">
        <w:rPr>
          <w:rFonts w:eastAsia="Calibri"/>
        </w:rPr>
        <w:t xml:space="preserve"> coffee, the steep price increase may reduce demand elasticity, causing some consumers to seek substitutes like energy drinks or cheaper instant brands. </w:t>
      </w:r>
      <w:r>
        <w:rPr>
          <w:rFonts w:eastAsia="Calibri"/>
        </w:rPr>
        <w:t>So, on the basis of that i</w:t>
      </w:r>
      <w:r w:rsidRPr="00CB0016">
        <w:rPr>
          <w:rFonts w:eastAsia="Calibri"/>
        </w:rPr>
        <w:t>n turn, this creates pricing pressure on retailers who must balance affordability with profitability (Ray et al., 2021).</w:t>
      </w:r>
    </w:p>
    <w:p w14:paraId="3F0F4AF8" w14:textId="4CE50CA0" w:rsidR="00CB0016" w:rsidRPr="00CB0016" w:rsidRDefault="00CB0016" w:rsidP="005C5FE0">
      <w:pPr>
        <w:spacing w:line="480" w:lineRule="auto"/>
        <w:jc w:val="both"/>
        <w:rPr>
          <w:rFonts w:eastAsia="Calibri"/>
        </w:rPr>
      </w:pPr>
      <w:r w:rsidRPr="00CB0016">
        <w:rPr>
          <w:rFonts w:eastAsia="Calibri"/>
        </w:rPr>
        <w:lastRenderedPageBreak/>
        <w:tab/>
      </w:r>
      <w:r>
        <w:rPr>
          <w:rFonts w:eastAsia="Calibri"/>
        </w:rPr>
        <w:t>Based on the s</w:t>
      </w:r>
      <w:r w:rsidRPr="00CB0016">
        <w:rPr>
          <w:rFonts w:eastAsia="Calibri"/>
        </w:rPr>
        <w:t xml:space="preserve">ubstitute goods—such as cocoa or herbal drinks for tea, and soda or energy drinks for coffee—play a critical role in shaping consumer behavior. </w:t>
      </w:r>
      <w:r>
        <w:rPr>
          <w:rFonts w:eastAsia="Calibri"/>
        </w:rPr>
        <w:t>In accordance with the c</w:t>
      </w:r>
      <w:r w:rsidRPr="00CB0016">
        <w:rPr>
          <w:rFonts w:eastAsia="Calibri"/>
        </w:rPr>
        <w:t xml:space="preserve">omplementary goods like milk and sugar may also see fluctuating demand depending on tea and coffee price levels. </w:t>
      </w:r>
      <w:r>
        <w:rPr>
          <w:rFonts w:eastAsia="Calibri"/>
        </w:rPr>
        <w:t xml:space="preserve">It tends to </w:t>
      </w:r>
      <w:proofErr w:type="spellStart"/>
      <w:r>
        <w:rPr>
          <w:rFonts w:eastAsia="Calibri"/>
        </w:rPr>
        <w:t>analysed</w:t>
      </w:r>
      <w:proofErr w:type="spellEnd"/>
      <w:r>
        <w:rPr>
          <w:rFonts w:eastAsia="Calibri"/>
        </w:rPr>
        <w:t xml:space="preserve"> that the s</w:t>
      </w:r>
      <w:r w:rsidRPr="00CB0016">
        <w:rPr>
          <w:rFonts w:eastAsia="Calibri"/>
        </w:rPr>
        <w:t xml:space="preserve">ellers respond by adjusting packaging sizes, marketing strategies, and inventory planning. </w:t>
      </w:r>
      <w:r>
        <w:rPr>
          <w:rFonts w:eastAsia="Calibri"/>
        </w:rPr>
        <w:t xml:space="preserve">So, on the basis of that the </w:t>
      </w:r>
      <w:r w:rsidRPr="00CB0016">
        <w:rPr>
          <w:rFonts w:eastAsia="Calibri"/>
        </w:rPr>
        <w:t>premium coffee sellers might double down on branding to justify prices, while tea producers may invest in diversification to retain consumers.</w:t>
      </w:r>
    </w:p>
    <w:p w14:paraId="3ACCFEC1" w14:textId="48BBF01F" w:rsidR="00CB0016" w:rsidRPr="00454CAF" w:rsidRDefault="00CB0016" w:rsidP="00CB0016">
      <w:pPr>
        <w:spacing w:line="480" w:lineRule="auto"/>
        <w:rPr>
          <w:rFonts w:eastAsia="Calibri"/>
          <w:b/>
          <w:bCs/>
        </w:rPr>
      </w:pPr>
    </w:p>
    <w:p w14:paraId="7F79F8D8" w14:textId="77777777" w:rsidR="000455F6" w:rsidRDefault="000455F6" w:rsidP="003C7F15">
      <w:pPr>
        <w:pStyle w:val="Blockquote"/>
        <w:spacing w:before="0" w:after="0" w:line="480" w:lineRule="auto"/>
        <w:ind w:left="0"/>
        <w:jc w:val="center"/>
        <w:rPr>
          <w:b/>
          <w:color w:val="000000"/>
          <w:szCs w:val="24"/>
        </w:rPr>
      </w:pPr>
      <w:r w:rsidRPr="00B224B6">
        <w:rPr>
          <w:b/>
          <w:color w:val="000000"/>
          <w:szCs w:val="24"/>
        </w:rPr>
        <w:t>Conclusion</w:t>
      </w:r>
    </w:p>
    <w:p w14:paraId="5EE9EDA1" w14:textId="5629120C" w:rsidR="00CB0016" w:rsidRPr="00CB0016" w:rsidRDefault="00CB0016" w:rsidP="005C5FE0">
      <w:pPr>
        <w:pStyle w:val="Blockquote"/>
        <w:spacing w:before="0" w:after="0" w:line="480" w:lineRule="auto"/>
        <w:ind w:left="0"/>
        <w:jc w:val="both"/>
        <w:rPr>
          <w:bCs/>
          <w:color w:val="000000"/>
          <w:szCs w:val="24"/>
        </w:rPr>
      </w:pPr>
      <w:r w:rsidRPr="00CB0016"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 xml:space="preserve">According to the above analysis, which tends to conclude that </w:t>
      </w:r>
      <w:r w:rsidRPr="00CB0016">
        <w:rPr>
          <w:bCs/>
          <w:color w:val="000000"/>
          <w:szCs w:val="24"/>
        </w:rPr>
        <w:t xml:space="preserve">the tea and coffee commodity trends show both convergence and divergence in response to global supply and demand forces. </w:t>
      </w:r>
      <w:r>
        <w:rPr>
          <w:bCs/>
          <w:color w:val="000000"/>
          <w:szCs w:val="24"/>
        </w:rPr>
        <w:t xml:space="preserve">As per the </w:t>
      </w:r>
      <w:r w:rsidR="00F9619D">
        <w:rPr>
          <w:bCs/>
          <w:color w:val="000000"/>
          <w:szCs w:val="24"/>
        </w:rPr>
        <w:t>study, Tea’s</w:t>
      </w:r>
      <w:r w:rsidRPr="00CB0016">
        <w:rPr>
          <w:bCs/>
          <w:color w:val="000000"/>
          <w:szCs w:val="24"/>
        </w:rPr>
        <w:t xml:space="preserve"> stable pricing reflects market maturity and stable supply, while coffee's surging prices signal growing demand pressures and constrained supply. </w:t>
      </w:r>
      <w:r>
        <w:rPr>
          <w:bCs/>
          <w:color w:val="000000"/>
          <w:szCs w:val="24"/>
        </w:rPr>
        <w:t xml:space="preserve">In accordance with the </w:t>
      </w:r>
      <w:r w:rsidRPr="00CB0016">
        <w:rPr>
          <w:bCs/>
          <w:color w:val="000000"/>
          <w:szCs w:val="24"/>
        </w:rPr>
        <w:t xml:space="preserve">broader beverage index confirms these trends. </w:t>
      </w:r>
      <w:r>
        <w:rPr>
          <w:bCs/>
          <w:color w:val="000000"/>
          <w:szCs w:val="24"/>
        </w:rPr>
        <w:t>It is important to u</w:t>
      </w:r>
      <w:r w:rsidRPr="00CB0016">
        <w:rPr>
          <w:bCs/>
          <w:color w:val="000000"/>
          <w:szCs w:val="24"/>
        </w:rPr>
        <w:t>nderstand</w:t>
      </w:r>
      <w:r>
        <w:rPr>
          <w:bCs/>
          <w:color w:val="000000"/>
          <w:szCs w:val="24"/>
        </w:rPr>
        <w:t xml:space="preserve"> that</w:t>
      </w:r>
      <w:r w:rsidRPr="00CB0016">
        <w:rPr>
          <w:bCs/>
          <w:color w:val="000000"/>
          <w:szCs w:val="24"/>
        </w:rPr>
        <w:t xml:space="preserve"> these dynamics allow producers, marketers, and consumers to make informed decisions in an increasingly volatile global marketplace.</w:t>
      </w:r>
    </w:p>
    <w:p w14:paraId="5FC249A1" w14:textId="77777777" w:rsidR="000455F6" w:rsidRPr="00B224B6" w:rsidRDefault="000455F6" w:rsidP="003F62B7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-360"/>
        <w:jc w:val="center"/>
        <w:textAlignment w:val="baseline"/>
        <w:rPr>
          <w:color w:val="000000"/>
          <w:highlight w:val="yellow"/>
        </w:rPr>
      </w:pPr>
      <w:r w:rsidRPr="00B224B6">
        <w:rPr>
          <w:color w:val="000000"/>
        </w:rPr>
        <w:br w:type="page"/>
      </w:r>
      <w:r w:rsidRPr="00B224B6">
        <w:rPr>
          <w:b/>
          <w:color w:val="000000"/>
        </w:rPr>
        <w:lastRenderedPageBreak/>
        <w:t>References</w:t>
      </w:r>
    </w:p>
    <w:p w14:paraId="3D037BAF" w14:textId="2EFCD584" w:rsidR="00CB0016" w:rsidRPr="006F2482" w:rsidRDefault="00CB0016" w:rsidP="006F2482">
      <w:pPr>
        <w:spacing w:line="480" w:lineRule="auto"/>
        <w:ind w:left="720" w:hanging="720"/>
        <w:jc w:val="both"/>
        <w:rPr>
          <w:bCs/>
          <w:color w:val="000000"/>
        </w:rPr>
      </w:pPr>
      <w:bookmarkStart w:id="1" w:name="_GoBack"/>
      <w:r w:rsidRPr="006F2482">
        <w:rPr>
          <w:bCs/>
          <w:color w:val="000000"/>
        </w:rPr>
        <w:t>Deci, E. L., &amp; Ryan, R. M. (2021). Intrinsic motivation and self-determination in human behavior. Springer Science &amp; Business Media.</w:t>
      </w:r>
    </w:p>
    <w:p w14:paraId="49ACC689" w14:textId="405C4C71" w:rsidR="00CB0016" w:rsidRPr="006F2482" w:rsidRDefault="00CB0016" w:rsidP="006F2482">
      <w:pPr>
        <w:spacing w:line="480" w:lineRule="auto"/>
        <w:ind w:left="720" w:hanging="720"/>
        <w:jc w:val="both"/>
        <w:rPr>
          <w:bCs/>
          <w:color w:val="000000"/>
        </w:rPr>
      </w:pPr>
      <w:r w:rsidRPr="006F2482">
        <w:rPr>
          <w:bCs/>
          <w:color w:val="000000"/>
        </w:rPr>
        <w:t>Herzberg, F. (2022). Motivational factors and economic behavior. Economic Review Press.</w:t>
      </w:r>
    </w:p>
    <w:p w14:paraId="04494712" w14:textId="41165292" w:rsidR="00CB0016" w:rsidRPr="006F2482" w:rsidRDefault="00CB0016" w:rsidP="006F2482">
      <w:pPr>
        <w:spacing w:line="480" w:lineRule="auto"/>
        <w:ind w:left="720" w:hanging="720"/>
        <w:jc w:val="both"/>
        <w:rPr>
          <w:bCs/>
          <w:color w:val="000000"/>
        </w:rPr>
      </w:pPr>
      <w:r w:rsidRPr="006F2482">
        <w:rPr>
          <w:bCs/>
          <w:color w:val="000000"/>
        </w:rPr>
        <w:t>Ray, S., Thomas, L., &amp; Wang, Y. (2021). Global commodity markets and trade dynamics. International Economic Journal.</w:t>
      </w:r>
    </w:p>
    <w:p w14:paraId="66234608" w14:textId="542CA12D" w:rsidR="0078148F" w:rsidRPr="006F2482" w:rsidRDefault="0078148F" w:rsidP="006F2482">
      <w:pPr>
        <w:spacing w:line="480" w:lineRule="auto"/>
        <w:ind w:left="720" w:hanging="720"/>
        <w:jc w:val="both"/>
        <w:rPr>
          <w:bCs/>
          <w:color w:val="000000"/>
        </w:rPr>
      </w:pPr>
      <w:r w:rsidRPr="006F2482">
        <w:rPr>
          <w:bCs/>
          <w:color w:val="000000"/>
        </w:rPr>
        <w:t>Tan, H.H.G., 2024. Spilling the ‘</w:t>
      </w:r>
      <w:proofErr w:type="spellStart"/>
      <w:r w:rsidRPr="006F2482">
        <w:rPr>
          <w:bCs/>
          <w:color w:val="000000"/>
        </w:rPr>
        <w:t>tea’on</w:t>
      </w:r>
      <w:proofErr w:type="spellEnd"/>
      <w:r w:rsidRPr="006F2482">
        <w:rPr>
          <w:bCs/>
          <w:color w:val="000000"/>
        </w:rPr>
        <w:t xml:space="preserve"> Tea: A Commodity Chain Analysis into Sri Lankan Tea. </w:t>
      </w:r>
      <w:r w:rsidRPr="006F2482">
        <w:rPr>
          <w:bCs/>
          <w:i/>
          <w:iCs/>
          <w:color w:val="000000"/>
        </w:rPr>
        <w:t>LSE Journal of Geography and Environment</w:t>
      </w:r>
      <w:r w:rsidRPr="006F2482">
        <w:rPr>
          <w:bCs/>
          <w:color w:val="000000"/>
        </w:rPr>
        <w:t>, </w:t>
      </w:r>
      <w:r w:rsidRPr="006F2482">
        <w:rPr>
          <w:bCs/>
          <w:i/>
          <w:iCs/>
          <w:color w:val="000000"/>
        </w:rPr>
        <w:t>2</w:t>
      </w:r>
      <w:r w:rsidRPr="006F2482">
        <w:rPr>
          <w:bCs/>
          <w:color w:val="000000"/>
        </w:rPr>
        <w:t>(1).</w:t>
      </w:r>
    </w:p>
    <w:p w14:paraId="0339B07A" w14:textId="06931A4A" w:rsidR="0078148F" w:rsidRPr="006F2482" w:rsidRDefault="0078148F" w:rsidP="006F2482">
      <w:pPr>
        <w:spacing w:line="480" w:lineRule="auto"/>
        <w:ind w:left="720" w:hanging="720"/>
        <w:jc w:val="both"/>
        <w:rPr>
          <w:bCs/>
          <w:color w:val="000000"/>
        </w:rPr>
      </w:pPr>
      <w:r w:rsidRPr="006F2482">
        <w:rPr>
          <w:bCs/>
          <w:color w:val="000000"/>
        </w:rPr>
        <w:t>Jolliffe, L., 2025. Coffee and tea tourism. In </w:t>
      </w:r>
      <w:r w:rsidRPr="006F2482">
        <w:rPr>
          <w:bCs/>
          <w:i/>
          <w:iCs/>
          <w:color w:val="000000"/>
        </w:rPr>
        <w:t>Encyclopedia of Tourism</w:t>
      </w:r>
      <w:r w:rsidRPr="006F2482">
        <w:rPr>
          <w:bCs/>
          <w:color w:val="000000"/>
        </w:rPr>
        <w:t> (pp. 169-170). Cham: Springer Nature Switzerland.</w:t>
      </w:r>
    </w:p>
    <w:bookmarkEnd w:id="1"/>
    <w:p w14:paraId="0C520018" w14:textId="77777777" w:rsidR="00A42F13" w:rsidRPr="006F2482" w:rsidRDefault="00A42F13" w:rsidP="006F2482">
      <w:pPr>
        <w:spacing w:line="480" w:lineRule="auto"/>
        <w:jc w:val="both"/>
        <w:rPr>
          <w:color w:val="000000"/>
        </w:rPr>
      </w:pPr>
    </w:p>
    <w:sectPr w:rsidR="00A42F13" w:rsidRPr="006F2482" w:rsidSect="003F5158">
      <w:headerReference w:type="default" r:id="rId12"/>
      <w:head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D41C4" w14:textId="77777777" w:rsidR="002646D5" w:rsidRDefault="002646D5">
      <w:r>
        <w:separator/>
      </w:r>
    </w:p>
  </w:endnote>
  <w:endnote w:type="continuationSeparator" w:id="0">
    <w:p w14:paraId="0C8551C6" w14:textId="77777777" w:rsidR="002646D5" w:rsidRDefault="0026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980D8" w14:textId="77777777" w:rsidR="002646D5" w:rsidRDefault="002646D5">
      <w:r>
        <w:separator/>
      </w:r>
    </w:p>
  </w:footnote>
  <w:footnote w:type="continuationSeparator" w:id="0">
    <w:p w14:paraId="278771D5" w14:textId="77777777" w:rsidR="002646D5" w:rsidRDefault="0026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4E46C" w14:textId="77777777" w:rsidR="00B32F73" w:rsidRDefault="00E4493B" w:rsidP="00026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2F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482">
      <w:rPr>
        <w:rStyle w:val="PageNumber"/>
        <w:noProof/>
      </w:rPr>
      <w:t>6</w:t>
    </w:r>
    <w:r>
      <w:rPr>
        <w:rStyle w:val="PageNumber"/>
      </w:rPr>
      <w:fldChar w:fldCharType="end"/>
    </w:r>
  </w:p>
  <w:p w14:paraId="3A9BF68D" w14:textId="57C3A927" w:rsidR="00B32F73" w:rsidRPr="00352E8D" w:rsidRDefault="00F378C4" w:rsidP="003F5158">
    <w:pPr>
      <w:pStyle w:val="Header"/>
      <w:ind w:right="360"/>
      <w:rPr>
        <w:sz w:val="22"/>
        <w:szCs w:val="22"/>
      </w:rPr>
    </w:pPr>
    <w:r>
      <w:t>BUS</w:t>
    </w:r>
    <w:r w:rsidR="00E94A62">
      <w:t>530</w:t>
    </w:r>
    <w:r w:rsidR="00D0108C">
      <w:t xml:space="preserve"> </w:t>
    </w:r>
    <w:r w:rsidR="00352229">
      <w:t>Case</w:t>
    </w:r>
    <w:r w:rsidR="006624AB">
      <w:t xml:space="preserve"> </w:t>
    </w:r>
    <w:r w:rsidR="00E046B3"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0AA7D" w14:textId="73FA77ED" w:rsidR="00B32F73" w:rsidRDefault="003F5158" w:rsidP="00286395">
    <w:pPr>
      <w:pStyle w:val="Header"/>
      <w:jc w:val="right"/>
    </w:pPr>
    <w:r>
      <w:t xml:space="preserve">                                                                                               </w:t>
    </w:r>
    <w:r w:rsidR="00AE1D46">
      <w:fldChar w:fldCharType="begin"/>
    </w:r>
    <w:r w:rsidR="00AE1D46">
      <w:instrText xml:space="preserve"> PAGE   \* MERGEFORMAT </w:instrText>
    </w:r>
    <w:r w:rsidR="00AE1D46">
      <w:fldChar w:fldCharType="separate"/>
    </w:r>
    <w:r w:rsidR="006F2482">
      <w:rPr>
        <w:noProof/>
      </w:rPr>
      <w:t>1</w:t>
    </w:r>
    <w:r w:rsidR="00AE1D46">
      <w:rPr>
        <w:noProof/>
      </w:rPr>
      <w:fldChar w:fldCharType="end"/>
    </w:r>
  </w:p>
  <w:p w14:paraId="2A3953CE" w14:textId="77777777" w:rsidR="00B32F73" w:rsidRDefault="00B32F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3C7F"/>
    <w:multiLevelType w:val="hybridMultilevel"/>
    <w:tmpl w:val="3C82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1B75"/>
    <w:multiLevelType w:val="multilevel"/>
    <w:tmpl w:val="0F9E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D4A11"/>
    <w:multiLevelType w:val="multilevel"/>
    <w:tmpl w:val="8A6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314AD"/>
    <w:multiLevelType w:val="hybridMultilevel"/>
    <w:tmpl w:val="D9B0D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61414"/>
    <w:multiLevelType w:val="hybridMultilevel"/>
    <w:tmpl w:val="E4FC4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F31AE"/>
    <w:multiLevelType w:val="multilevel"/>
    <w:tmpl w:val="2E3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D75F4"/>
    <w:multiLevelType w:val="hybridMultilevel"/>
    <w:tmpl w:val="C8BA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90531"/>
    <w:multiLevelType w:val="multilevel"/>
    <w:tmpl w:val="A4A6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63B5E"/>
    <w:multiLevelType w:val="hybridMultilevel"/>
    <w:tmpl w:val="83EC6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983B43"/>
    <w:multiLevelType w:val="hybridMultilevel"/>
    <w:tmpl w:val="84C8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42AEE"/>
    <w:multiLevelType w:val="multilevel"/>
    <w:tmpl w:val="50A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1D7AE0"/>
    <w:multiLevelType w:val="hybridMultilevel"/>
    <w:tmpl w:val="A552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54E86"/>
    <w:multiLevelType w:val="hybridMultilevel"/>
    <w:tmpl w:val="49E8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A0175"/>
    <w:multiLevelType w:val="hybridMultilevel"/>
    <w:tmpl w:val="466E5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8C2640"/>
    <w:multiLevelType w:val="hybridMultilevel"/>
    <w:tmpl w:val="17F8C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B20004"/>
    <w:multiLevelType w:val="hybridMultilevel"/>
    <w:tmpl w:val="6C9C3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5199D"/>
    <w:multiLevelType w:val="hybridMultilevel"/>
    <w:tmpl w:val="9D321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A7DA7"/>
    <w:multiLevelType w:val="hybridMultilevel"/>
    <w:tmpl w:val="ACB4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446CB"/>
    <w:multiLevelType w:val="hybridMultilevel"/>
    <w:tmpl w:val="49A816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29B1222"/>
    <w:multiLevelType w:val="multilevel"/>
    <w:tmpl w:val="87D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D85337"/>
    <w:multiLevelType w:val="hybridMultilevel"/>
    <w:tmpl w:val="42A65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C46A98"/>
    <w:multiLevelType w:val="multilevel"/>
    <w:tmpl w:val="102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593D2C"/>
    <w:multiLevelType w:val="hybridMultilevel"/>
    <w:tmpl w:val="2610A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C32DC0"/>
    <w:multiLevelType w:val="hybridMultilevel"/>
    <w:tmpl w:val="D3C0E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620CC"/>
    <w:multiLevelType w:val="hybridMultilevel"/>
    <w:tmpl w:val="B6A2E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A735E4"/>
    <w:multiLevelType w:val="multilevel"/>
    <w:tmpl w:val="515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A97C58"/>
    <w:multiLevelType w:val="hybridMultilevel"/>
    <w:tmpl w:val="24BA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A31DD"/>
    <w:multiLevelType w:val="hybridMultilevel"/>
    <w:tmpl w:val="602E3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C72876"/>
    <w:multiLevelType w:val="hybridMultilevel"/>
    <w:tmpl w:val="015A4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F5753F"/>
    <w:multiLevelType w:val="multilevel"/>
    <w:tmpl w:val="6B82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ED1B21"/>
    <w:multiLevelType w:val="multilevel"/>
    <w:tmpl w:val="FEB4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995848"/>
    <w:multiLevelType w:val="hybridMultilevel"/>
    <w:tmpl w:val="369412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23"/>
  </w:num>
  <w:num w:numId="5">
    <w:abstractNumId w:val="1"/>
  </w:num>
  <w:num w:numId="6">
    <w:abstractNumId w:val="27"/>
  </w:num>
  <w:num w:numId="7">
    <w:abstractNumId w:val="24"/>
  </w:num>
  <w:num w:numId="8">
    <w:abstractNumId w:val="12"/>
  </w:num>
  <w:num w:numId="9">
    <w:abstractNumId w:val="2"/>
  </w:num>
  <w:num w:numId="10">
    <w:abstractNumId w:val="17"/>
  </w:num>
  <w:num w:numId="11">
    <w:abstractNumId w:val="4"/>
  </w:num>
  <w:num w:numId="12">
    <w:abstractNumId w:val="25"/>
  </w:num>
  <w:num w:numId="13">
    <w:abstractNumId w:val="26"/>
  </w:num>
  <w:num w:numId="14">
    <w:abstractNumId w:val="21"/>
  </w:num>
  <w:num w:numId="15">
    <w:abstractNumId w:val="30"/>
  </w:num>
  <w:num w:numId="16">
    <w:abstractNumId w:val="19"/>
  </w:num>
  <w:num w:numId="17">
    <w:abstractNumId w:val="31"/>
  </w:num>
  <w:num w:numId="18">
    <w:abstractNumId w:val="8"/>
  </w:num>
  <w:num w:numId="19">
    <w:abstractNumId w:val="6"/>
  </w:num>
  <w:num w:numId="20">
    <w:abstractNumId w:val="13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8"/>
  </w:num>
  <w:num w:numId="26">
    <w:abstractNumId w:val="18"/>
  </w:num>
  <w:num w:numId="27">
    <w:abstractNumId w:val="10"/>
  </w:num>
  <w:num w:numId="28">
    <w:abstractNumId w:val="5"/>
  </w:num>
  <w:num w:numId="29">
    <w:abstractNumId w:val="29"/>
  </w:num>
  <w:num w:numId="30">
    <w:abstractNumId w:val="14"/>
  </w:num>
  <w:num w:numId="31">
    <w:abstractNumId w:val="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0MzYztzC3MDE0MDFR0lEKTi0uzszPAykwMqoFABow/OstAAAA"/>
  </w:docVars>
  <w:rsids>
    <w:rsidRoot w:val="0050433C"/>
    <w:rsid w:val="00026142"/>
    <w:rsid w:val="0003472F"/>
    <w:rsid w:val="000455F6"/>
    <w:rsid w:val="00047143"/>
    <w:rsid w:val="000511FA"/>
    <w:rsid w:val="0006074E"/>
    <w:rsid w:val="0006434B"/>
    <w:rsid w:val="00080609"/>
    <w:rsid w:val="00081629"/>
    <w:rsid w:val="00085C7F"/>
    <w:rsid w:val="000A198A"/>
    <w:rsid w:val="000A39A9"/>
    <w:rsid w:val="000B008D"/>
    <w:rsid w:val="000B6AD6"/>
    <w:rsid w:val="000C144F"/>
    <w:rsid w:val="000C1741"/>
    <w:rsid w:val="000C6AD9"/>
    <w:rsid w:val="000E0F36"/>
    <w:rsid w:val="000F1641"/>
    <w:rsid w:val="00106FDE"/>
    <w:rsid w:val="001147C1"/>
    <w:rsid w:val="00131A1B"/>
    <w:rsid w:val="001377D4"/>
    <w:rsid w:val="00147909"/>
    <w:rsid w:val="00150EEF"/>
    <w:rsid w:val="00154F49"/>
    <w:rsid w:val="00163836"/>
    <w:rsid w:val="00167D67"/>
    <w:rsid w:val="001758DE"/>
    <w:rsid w:val="00182003"/>
    <w:rsid w:val="001A55A9"/>
    <w:rsid w:val="001C10D9"/>
    <w:rsid w:val="001D090F"/>
    <w:rsid w:val="001D1CD9"/>
    <w:rsid w:val="001F40F3"/>
    <w:rsid w:val="0020174B"/>
    <w:rsid w:val="0020241D"/>
    <w:rsid w:val="00211094"/>
    <w:rsid w:val="0021351E"/>
    <w:rsid w:val="002439C9"/>
    <w:rsid w:val="00253713"/>
    <w:rsid w:val="00256256"/>
    <w:rsid w:val="002646D5"/>
    <w:rsid w:val="00286395"/>
    <w:rsid w:val="002A2C9F"/>
    <w:rsid w:val="002B6BFA"/>
    <w:rsid w:val="002C00BE"/>
    <w:rsid w:val="002C7462"/>
    <w:rsid w:val="002D755D"/>
    <w:rsid w:val="002E6180"/>
    <w:rsid w:val="002F7DEF"/>
    <w:rsid w:val="00312827"/>
    <w:rsid w:val="00352229"/>
    <w:rsid w:val="00352E8D"/>
    <w:rsid w:val="00354C36"/>
    <w:rsid w:val="00356E85"/>
    <w:rsid w:val="00361978"/>
    <w:rsid w:val="00364C68"/>
    <w:rsid w:val="003A0026"/>
    <w:rsid w:val="003A1801"/>
    <w:rsid w:val="003C7F15"/>
    <w:rsid w:val="003D6821"/>
    <w:rsid w:val="003E42AB"/>
    <w:rsid w:val="003E5F3A"/>
    <w:rsid w:val="003F2F65"/>
    <w:rsid w:val="003F3719"/>
    <w:rsid w:val="003F5158"/>
    <w:rsid w:val="003F62B7"/>
    <w:rsid w:val="00403444"/>
    <w:rsid w:val="004043FC"/>
    <w:rsid w:val="00415754"/>
    <w:rsid w:val="00420274"/>
    <w:rsid w:val="00422016"/>
    <w:rsid w:val="00425A9A"/>
    <w:rsid w:val="00430195"/>
    <w:rsid w:val="00436393"/>
    <w:rsid w:val="00440095"/>
    <w:rsid w:val="0044112E"/>
    <w:rsid w:val="00454CAF"/>
    <w:rsid w:val="00456686"/>
    <w:rsid w:val="004578EE"/>
    <w:rsid w:val="004604B1"/>
    <w:rsid w:val="00466700"/>
    <w:rsid w:val="00483362"/>
    <w:rsid w:val="004853C2"/>
    <w:rsid w:val="00492DCE"/>
    <w:rsid w:val="0049530B"/>
    <w:rsid w:val="004A3C8E"/>
    <w:rsid w:val="004C1298"/>
    <w:rsid w:val="00502A2F"/>
    <w:rsid w:val="005040FF"/>
    <w:rsid w:val="0050433C"/>
    <w:rsid w:val="0050489F"/>
    <w:rsid w:val="0050533C"/>
    <w:rsid w:val="00522766"/>
    <w:rsid w:val="00530A67"/>
    <w:rsid w:val="0053493C"/>
    <w:rsid w:val="005412E4"/>
    <w:rsid w:val="0055467F"/>
    <w:rsid w:val="00561A56"/>
    <w:rsid w:val="00565081"/>
    <w:rsid w:val="0057635E"/>
    <w:rsid w:val="00581CE2"/>
    <w:rsid w:val="00595B65"/>
    <w:rsid w:val="005C5FE0"/>
    <w:rsid w:val="005E5214"/>
    <w:rsid w:val="005E5984"/>
    <w:rsid w:val="005F3678"/>
    <w:rsid w:val="005F75ED"/>
    <w:rsid w:val="0060394A"/>
    <w:rsid w:val="006124DB"/>
    <w:rsid w:val="00614C45"/>
    <w:rsid w:val="00625523"/>
    <w:rsid w:val="006416F4"/>
    <w:rsid w:val="006431F1"/>
    <w:rsid w:val="0065567D"/>
    <w:rsid w:val="00660724"/>
    <w:rsid w:val="006624AB"/>
    <w:rsid w:val="00671116"/>
    <w:rsid w:val="00672D33"/>
    <w:rsid w:val="006730B0"/>
    <w:rsid w:val="00674A8C"/>
    <w:rsid w:val="006A5C5E"/>
    <w:rsid w:val="006B25B5"/>
    <w:rsid w:val="006E1EF5"/>
    <w:rsid w:val="006F2482"/>
    <w:rsid w:val="006F527A"/>
    <w:rsid w:val="0070200D"/>
    <w:rsid w:val="00711DC4"/>
    <w:rsid w:val="007572B6"/>
    <w:rsid w:val="0078148F"/>
    <w:rsid w:val="007A1B1F"/>
    <w:rsid w:val="007D1376"/>
    <w:rsid w:val="007F79BB"/>
    <w:rsid w:val="00800B4D"/>
    <w:rsid w:val="008026AA"/>
    <w:rsid w:val="0081017D"/>
    <w:rsid w:val="00824636"/>
    <w:rsid w:val="008255DE"/>
    <w:rsid w:val="00841A9E"/>
    <w:rsid w:val="00841F4A"/>
    <w:rsid w:val="00844EE7"/>
    <w:rsid w:val="00854C46"/>
    <w:rsid w:val="00873554"/>
    <w:rsid w:val="00880C08"/>
    <w:rsid w:val="00883AAD"/>
    <w:rsid w:val="00896609"/>
    <w:rsid w:val="008B7F59"/>
    <w:rsid w:val="008C4C54"/>
    <w:rsid w:val="008C7966"/>
    <w:rsid w:val="008D23AA"/>
    <w:rsid w:val="008D3F0D"/>
    <w:rsid w:val="008D5C02"/>
    <w:rsid w:val="008E469D"/>
    <w:rsid w:val="008F74C4"/>
    <w:rsid w:val="009007D4"/>
    <w:rsid w:val="0091254D"/>
    <w:rsid w:val="00954A41"/>
    <w:rsid w:val="00960B22"/>
    <w:rsid w:val="00963132"/>
    <w:rsid w:val="009749F9"/>
    <w:rsid w:val="009758CD"/>
    <w:rsid w:val="00977C3F"/>
    <w:rsid w:val="00990C99"/>
    <w:rsid w:val="00991A50"/>
    <w:rsid w:val="009A3DEA"/>
    <w:rsid w:val="009B6C8F"/>
    <w:rsid w:val="009C36FD"/>
    <w:rsid w:val="009C743D"/>
    <w:rsid w:val="009D375B"/>
    <w:rsid w:val="009D378A"/>
    <w:rsid w:val="00A00D2C"/>
    <w:rsid w:val="00A037C7"/>
    <w:rsid w:val="00A13576"/>
    <w:rsid w:val="00A1437D"/>
    <w:rsid w:val="00A225DF"/>
    <w:rsid w:val="00A27F42"/>
    <w:rsid w:val="00A37498"/>
    <w:rsid w:val="00A426A5"/>
    <w:rsid w:val="00A42F13"/>
    <w:rsid w:val="00A4532E"/>
    <w:rsid w:val="00A6361F"/>
    <w:rsid w:val="00A725AF"/>
    <w:rsid w:val="00A75CFC"/>
    <w:rsid w:val="00A93CC1"/>
    <w:rsid w:val="00A95E3A"/>
    <w:rsid w:val="00AA3F20"/>
    <w:rsid w:val="00AD4FAC"/>
    <w:rsid w:val="00AE1D46"/>
    <w:rsid w:val="00AE3507"/>
    <w:rsid w:val="00B02092"/>
    <w:rsid w:val="00B02A05"/>
    <w:rsid w:val="00B02DD7"/>
    <w:rsid w:val="00B042E8"/>
    <w:rsid w:val="00B068A8"/>
    <w:rsid w:val="00B10C07"/>
    <w:rsid w:val="00B224B6"/>
    <w:rsid w:val="00B22E3F"/>
    <w:rsid w:val="00B32F73"/>
    <w:rsid w:val="00B37F5A"/>
    <w:rsid w:val="00B4235C"/>
    <w:rsid w:val="00B46D48"/>
    <w:rsid w:val="00B6023E"/>
    <w:rsid w:val="00B6034C"/>
    <w:rsid w:val="00B62A78"/>
    <w:rsid w:val="00B742AF"/>
    <w:rsid w:val="00B80515"/>
    <w:rsid w:val="00B8112C"/>
    <w:rsid w:val="00B93D96"/>
    <w:rsid w:val="00B957E4"/>
    <w:rsid w:val="00BB155F"/>
    <w:rsid w:val="00BD1C8D"/>
    <w:rsid w:val="00BD3733"/>
    <w:rsid w:val="00BD6FF4"/>
    <w:rsid w:val="00BE410C"/>
    <w:rsid w:val="00BF7C6E"/>
    <w:rsid w:val="00C16DDC"/>
    <w:rsid w:val="00C21C1C"/>
    <w:rsid w:val="00C22265"/>
    <w:rsid w:val="00C277CE"/>
    <w:rsid w:val="00C31727"/>
    <w:rsid w:val="00C51C2A"/>
    <w:rsid w:val="00C5533D"/>
    <w:rsid w:val="00C74F8E"/>
    <w:rsid w:val="00C769CD"/>
    <w:rsid w:val="00C863E2"/>
    <w:rsid w:val="00C9472F"/>
    <w:rsid w:val="00CA791D"/>
    <w:rsid w:val="00CB0016"/>
    <w:rsid w:val="00CB1DD4"/>
    <w:rsid w:val="00CC057E"/>
    <w:rsid w:val="00CC3628"/>
    <w:rsid w:val="00CD2528"/>
    <w:rsid w:val="00CE2E66"/>
    <w:rsid w:val="00CF070A"/>
    <w:rsid w:val="00D0108C"/>
    <w:rsid w:val="00D13AC0"/>
    <w:rsid w:val="00D172FE"/>
    <w:rsid w:val="00D200BF"/>
    <w:rsid w:val="00D34CA2"/>
    <w:rsid w:val="00D47CA9"/>
    <w:rsid w:val="00D57D30"/>
    <w:rsid w:val="00D7332A"/>
    <w:rsid w:val="00D844B2"/>
    <w:rsid w:val="00D87258"/>
    <w:rsid w:val="00D96DDF"/>
    <w:rsid w:val="00DA07CA"/>
    <w:rsid w:val="00DB099B"/>
    <w:rsid w:val="00DB7248"/>
    <w:rsid w:val="00DD0C4D"/>
    <w:rsid w:val="00DE1A4A"/>
    <w:rsid w:val="00DE3706"/>
    <w:rsid w:val="00DE5909"/>
    <w:rsid w:val="00DE7652"/>
    <w:rsid w:val="00DF5ED9"/>
    <w:rsid w:val="00E026E0"/>
    <w:rsid w:val="00E046B3"/>
    <w:rsid w:val="00E062B8"/>
    <w:rsid w:val="00E347E9"/>
    <w:rsid w:val="00E40301"/>
    <w:rsid w:val="00E4493B"/>
    <w:rsid w:val="00E45724"/>
    <w:rsid w:val="00E45886"/>
    <w:rsid w:val="00E63F35"/>
    <w:rsid w:val="00E642BD"/>
    <w:rsid w:val="00E64AD3"/>
    <w:rsid w:val="00E80CFF"/>
    <w:rsid w:val="00E940DC"/>
    <w:rsid w:val="00E94A62"/>
    <w:rsid w:val="00EB211C"/>
    <w:rsid w:val="00EB65C0"/>
    <w:rsid w:val="00EC03B6"/>
    <w:rsid w:val="00EC3523"/>
    <w:rsid w:val="00ED47C2"/>
    <w:rsid w:val="00EF1CB2"/>
    <w:rsid w:val="00EF57CD"/>
    <w:rsid w:val="00F20699"/>
    <w:rsid w:val="00F257CE"/>
    <w:rsid w:val="00F35BE5"/>
    <w:rsid w:val="00F378C4"/>
    <w:rsid w:val="00F43BA1"/>
    <w:rsid w:val="00F468D1"/>
    <w:rsid w:val="00F62922"/>
    <w:rsid w:val="00F64DDA"/>
    <w:rsid w:val="00F7461E"/>
    <w:rsid w:val="00F84528"/>
    <w:rsid w:val="00F8489A"/>
    <w:rsid w:val="00F84D66"/>
    <w:rsid w:val="00F93AF8"/>
    <w:rsid w:val="00F9619D"/>
    <w:rsid w:val="00F96D0F"/>
    <w:rsid w:val="00F96D5C"/>
    <w:rsid w:val="00FA5A4C"/>
    <w:rsid w:val="00FA7A69"/>
    <w:rsid w:val="00FD1EEE"/>
    <w:rsid w:val="00FE13EC"/>
    <w:rsid w:val="00FF19B7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B7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D0F"/>
    <w:rPr>
      <w:sz w:val="24"/>
      <w:szCs w:val="24"/>
    </w:rPr>
  </w:style>
  <w:style w:type="paragraph" w:styleId="Heading1">
    <w:name w:val="heading 1"/>
    <w:basedOn w:val="Normal"/>
    <w:next w:val="Normal"/>
    <w:qFormat/>
    <w:rsid w:val="00DE76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3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77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4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3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043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6AD9"/>
    <w:rPr>
      <w:b/>
      <w:bCs/>
    </w:rPr>
  </w:style>
  <w:style w:type="paragraph" w:customStyle="1" w:styleId="TitlePage">
    <w:name w:val="TitlePage"/>
    <w:basedOn w:val="Normal"/>
    <w:rsid w:val="00561A56"/>
    <w:pPr>
      <w:tabs>
        <w:tab w:val="left" w:pos="576"/>
      </w:tabs>
      <w:overflowPunct w:val="0"/>
      <w:autoSpaceDE w:val="0"/>
      <w:autoSpaceDN w:val="0"/>
      <w:adjustRightInd w:val="0"/>
      <w:spacing w:line="480" w:lineRule="atLeast"/>
      <w:jc w:val="center"/>
      <w:textAlignment w:val="baseline"/>
    </w:pPr>
    <w:rPr>
      <w:rFonts w:ascii="Courier New" w:hAnsi="Courier New"/>
      <w:szCs w:val="20"/>
    </w:rPr>
  </w:style>
  <w:style w:type="paragraph" w:customStyle="1" w:styleId="References">
    <w:name w:val="References"/>
    <w:basedOn w:val="Normal"/>
    <w:rsid w:val="00561A56"/>
    <w:pPr>
      <w:keepLines/>
      <w:widowControl w:val="0"/>
      <w:tabs>
        <w:tab w:val="left" w:pos="576"/>
      </w:tabs>
      <w:overflowPunct w:val="0"/>
      <w:autoSpaceDE w:val="0"/>
      <w:autoSpaceDN w:val="0"/>
      <w:adjustRightInd w:val="0"/>
      <w:spacing w:line="480" w:lineRule="atLeast"/>
      <w:ind w:left="720" w:hanging="72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sid w:val="00561A5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1A56"/>
  </w:style>
  <w:style w:type="paragraph" w:styleId="NormalWeb">
    <w:name w:val="Normal (Web)"/>
    <w:basedOn w:val="Normal"/>
    <w:uiPriority w:val="99"/>
    <w:unhideWhenUsed/>
    <w:rsid w:val="0070200D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106FD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2F13"/>
    <w:rPr>
      <w:i/>
      <w:iCs/>
    </w:rPr>
  </w:style>
  <w:style w:type="character" w:customStyle="1" w:styleId="medium-normal">
    <w:name w:val="medium-normal"/>
    <w:basedOn w:val="DefaultParagraphFont"/>
    <w:rsid w:val="00A42F13"/>
  </w:style>
  <w:style w:type="character" w:styleId="PlaceholderText">
    <w:name w:val="Placeholder Text"/>
    <w:basedOn w:val="DefaultParagraphFont"/>
    <w:uiPriority w:val="99"/>
    <w:semiHidden/>
    <w:rsid w:val="0053493C"/>
    <w:rPr>
      <w:color w:val="808080"/>
    </w:rPr>
  </w:style>
  <w:style w:type="character" w:customStyle="1" w:styleId="Style1">
    <w:name w:val="Style1"/>
    <w:basedOn w:val="DefaultParagraphFont"/>
    <w:uiPriority w:val="1"/>
    <w:rsid w:val="00F96D5C"/>
  </w:style>
  <w:style w:type="character" w:styleId="FollowedHyperlink">
    <w:name w:val="FollowedHyperlink"/>
    <w:basedOn w:val="DefaultParagraphFont"/>
    <w:rsid w:val="0025625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026AA"/>
    <w:pPr>
      <w:ind w:left="720"/>
      <w:contextualSpacing/>
    </w:pPr>
  </w:style>
  <w:style w:type="paragraph" w:customStyle="1" w:styleId="text">
    <w:name w:val="text"/>
    <w:basedOn w:val="Normal"/>
    <w:rsid w:val="008D5C02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Blockquote">
    <w:name w:val="Blockquote"/>
    <w:basedOn w:val="Normal"/>
    <w:rsid w:val="00DD0C4D"/>
    <w:pPr>
      <w:spacing w:before="100" w:after="100"/>
      <w:ind w:left="360" w:right="36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DD0C4D"/>
    <w:pPr>
      <w:spacing w:after="120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DD0C4D"/>
    <w:rPr>
      <w:rFonts w:ascii="Book Antiqua" w:hAnsi="Book Antiqua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377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itation">
    <w:name w:val="citation"/>
    <w:basedOn w:val="Normal"/>
    <w:rsid w:val="001377D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40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C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743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0108C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nhideWhenUsed/>
    <w:qFormat/>
    <w:rsid w:val="0006434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128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3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T\Downloads\BUS530_Case1_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T\Downloads\BUS530_Case1_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T\Downloads\BUS530_Case1_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Tea, Mombasa ($/kg)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Q1 2024</c:v>
                </c:pt>
                <c:pt idx="1">
                  <c:v>Q2 2024</c:v>
                </c:pt>
                <c:pt idx="2">
                  <c:v>Q3 2024</c:v>
                </c:pt>
                <c:pt idx="3">
                  <c:v>Q4 2024</c:v>
                </c:pt>
                <c:pt idx="4">
                  <c:v>Q1 2025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2.19</c:v>
                </c:pt>
                <c:pt idx="1">
                  <c:v>2.21</c:v>
                </c:pt>
                <c:pt idx="2">
                  <c:v>2.16</c:v>
                </c:pt>
                <c:pt idx="3">
                  <c:v>2.17</c:v>
                </c:pt>
                <c:pt idx="4">
                  <c:v>2.2400000000000002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75B-4A29-A751-44CB6D883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2327768"/>
        <c:axId val="412325416"/>
      </c:lineChart>
      <c:catAx>
        <c:axId val="412327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2325416"/>
        <c:crosses val="autoZero"/>
        <c:auto val="1"/>
        <c:lblAlgn val="ctr"/>
        <c:lblOffset val="100"/>
        <c:noMultiLvlLbl val="0"/>
      </c:catAx>
      <c:valAx>
        <c:axId val="412325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2327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Sheet1!$D$1</c:f>
              <c:strCache>
                <c:ptCount val="1"/>
                <c:pt idx="0">
                  <c:v>Coffee, Arabica ($/kg)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Q1 2024</c:v>
                </c:pt>
                <c:pt idx="1">
                  <c:v>Q2 2024</c:v>
                </c:pt>
                <c:pt idx="2">
                  <c:v>Q3 2024</c:v>
                </c:pt>
                <c:pt idx="3">
                  <c:v>Q4 2024</c:v>
                </c:pt>
                <c:pt idx="4">
                  <c:v>Q1 2025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4.5599999999999996</c:v>
                </c:pt>
                <c:pt idx="1">
                  <c:v>5.28</c:v>
                </c:pt>
                <c:pt idx="2">
                  <c:v>5.85</c:v>
                </c:pt>
                <c:pt idx="3">
                  <c:v>6.8</c:v>
                </c:pt>
                <c:pt idx="4">
                  <c:v>8.59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402-45C5-9675-29F1549ABE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2331296"/>
        <c:axId val="412323848"/>
      </c:lineChart>
      <c:catAx>
        <c:axId val="412331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2323848"/>
        <c:crosses val="autoZero"/>
        <c:auto val="1"/>
        <c:lblAlgn val="ctr"/>
        <c:lblOffset val="100"/>
        <c:noMultiLvlLbl val="0"/>
      </c:catAx>
      <c:valAx>
        <c:axId val="412323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2331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Index Value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Sheet2!$A$2:$A$6</c:f>
              <c:strCache>
                <c:ptCount val="5"/>
                <c:pt idx="0">
                  <c:v>Q1 2024</c:v>
                </c:pt>
                <c:pt idx="1">
                  <c:v>Q2 2024</c:v>
                </c:pt>
                <c:pt idx="2">
                  <c:v>Q3 2024</c:v>
                </c:pt>
                <c:pt idx="3">
                  <c:v>Q4 2024</c:v>
                </c:pt>
                <c:pt idx="4">
                  <c:v>Q1 2025</c:v>
                </c:pt>
              </c:strCache>
            </c:strRef>
          </c:cat>
          <c:val>
            <c:numRef>
              <c:f>Sheet2!$B$2:$B$6</c:f>
              <c:numCache>
                <c:formatCode>General</c:formatCode>
                <c:ptCount val="5"/>
                <c:pt idx="0">
                  <c:v>140.4</c:v>
                </c:pt>
                <c:pt idx="1">
                  <c:v>187.3</c:v>
                </c:pt>
                <c:pt idx="2">
                  <c:v>176.7</c:v>
                </c:pt>
                <c:pt idx="3">
                  <c:v>201.1</c:v>
                </c:pt>
                <c:pt idx="4">
                  <c:v>232.3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E6-4A3A-B396-11703EB53B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2329336"/>
        <c:axId val="417767904"/>
      </c:barChart>
      <c:catAx>
        <c:axId val="412329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7767904"/>
        <c:crosses val="autoZero"/>
        <c:auto val="1"/>
        <c:lblAlgn val="ctr"/>
        <c:lblOffset val="100"/>
        <c:noMultiLvlLbl val="0"/>
      </c:catAx>
      <c:valAx>
        <c:axId val="41776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2329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117F7-B027-4E51-A7A6-D74D91A6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933</Words>
  <Characters>5321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2021-05-03T19:18:00Z</dcterms:created>
  <dcterms:modified xsi:type="dcterms:W3CDTF">2025-05-11T17:14:00Z</dcterms:modified>
</cp:coreProperties>
</file>