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A9" w:rsidRDefault="003337A9" w:rsidP="001A76BD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3337A9">
        <w:rPr>
          <w:rFonts w:ascii="Times New Roman" w:hAnsi="Times New Roman" w:cs="Times New Roman"/>
          <w:b/>
          <w:bCs/>
        </w:rPr>
        <w:t>Economics of Social Responsibility and Profit</w:t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Introduction</w:t>
      </w:r>
    </w:p>
    <w:p w:rsidR="003337A9" w:rsidRPr="003337A9" w:rsidRDefault="001650AE" w:rsidP="006A146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Based on the </w:t>
      </w:r>
      <w:r w:rsidR="003337A9" w:rsidRPr="003337A9">
        <w:rPr>
          <w:rFonts w:ascii="Times New Roman" w:hAnsi="Times New Roman" w:cs="Times New Roman"/>
        </w:rPr>
        <w:t xml:space="preserve">recent decades, the relationship between social responsibility and profit has become a critical topic in economics and business strategy. </w:t>
      </w:r>
      <w:r>
        <w:rPr>
          <w:rFonts w:ascii="Times New Roman" w:hAnsi="Times New Roman" w:cs="Times New Roman"/>
        </w:rPr>
        <w:t>However, according to certain c</w:t>
      </w:r>
      <w:r w:rsidRPr="003337A9">
        <w:rPr>
          <w:rFonts w:ascii="Times New Roman" w:hAnsi="Times New Roman" w:cs="Times New Roman"/>
        </w:rPr>
        <w:t>ompanies, they</w:t>
      </w:r>
      <w:r w:rsidR="003337A9" w:rsidRPr="003337A9">
        <w:rPr>
          <w:rFonts w:ascii="Times New Roman" w:hAnsi="Times New Roman" w:cs="Times New Roman"/>
        </w:rPr>
        <w:t xml:space="preserve"> are increasingly recognizing that their impact on society extends beyond financial performance.</w:t>
      </w:r>
      <w:r>
        <w:rPr>
          <w:rFonts w:ascii="Times New Roman" w:hAnsi="Times New Roman" w:cs="Times New Roman"/>
        </w:rPr>
        <w:t xml:space="preserve"> It is evident from the s</w:t>
      </w:r>
      <w:r w:rsidR="003337A9" w:rsidRPr="003337A9">
        <w:rPr>
          <w:rFonts w:ascii="Times New Roman" w:hAnsi="Times New Roman" w:cs="Times New Roman"/>
        </w:rPr>
        <w:t xml:space="preserve">ocial responsibility, often described as a company’s duty to act in the best interests of society, involves ethical practices, environmental sustainability, and community support. </w:t>
      </w:r>
      <w:r>
        <w:rPr>
          <w:rFonts w:ascii="Times New Roman" w:hAnsi="Times New Roman" w:cs="Times New Roman"/>
        </w:rPr>
        <w:t>In accordance with b</w:t>
      </w:r>
      <w:r w:rsidR="003337A9" w:rsidRPr="003337A9">
        <w:rPr>
          <w:rFonts w:ascii="Times New Roman" w:hAnsi="Times New Roman" w:cs="Times New Roman"/>
        </w:rPr>
        <w:t>alancing this with the need for profit is challenging but essential for long-term success</w:t>
      </w:r>
      <w:r>
        <w:rPr>
          <w:rFonts w:ascii="Times New Roman" w:hAnsi="Times New Roman" w:cs="Times New Roman"/>
        </w:rPr>
        <w:t xml:space="preserve"> and t</w:t>
      </w:r>
      <w:r w:rsidR="003337A9" w:rsidRPr="003337A9">
        <w:rPr>
          <w:rFonts w:ascii="Times New Roman" w:hAnsi="Times New Roman" w:cs="Times New Roman"/>
        </w:rPr>
        <w:t xml:space="preserve">his approach can be understood through frameworks like Corporate Social Responsibility (CSR), stakeholder theory, and the shared value concept </w:t>
      </w:r>
      <w:r w:rsidR="002179BE">
        <w:rPr>
          <w:rFonts w:ascii="Times New Roman" w:hAnsi="Times New Roman" w:cs="Times New Roman"/>
        </w:rPr>
        <w:t>(Suteja et al., 2023)</w:t>
      </w:r>
      <w:r w:rsidR="003337A9" w:rsidRPr="003337A9">
        <w:rPr>
          <w:rFonts w:ascii="Times New Roman" w:hAnsi="Times New Roman" w:cs="Times New Roman"/>
        </w:rPr>
        <w:t>.</w:t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  <w:b/>
          <w:bCs/>
        </w:rPr>
        <w:t>Business Case for Social Responsibility</w:t>
      </w:r>
    </w:p>
    <w:p w:rsidR="003337A9" w:rsidRPr="003337A9" w:rsidRDefault="001650AE" w:rsidP="006A146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Nevertheless, as per the </w:t>
      </w:r>
      <w:r w:rsidR="003337A9" w:rsidRPr="003337A9">
        <w:rPr>
          <w:rFonts w:ascii="Times New Roman" w:hAnsi="Times New Roman" w:cs="Times New Roman"/>
        </w:rPr>
        <w:t xml:space="preserve">first glance, the pursuit of profit may seem at odds with social responsibility. </w:t>
      </w:r>
      <w:r>
        <w:rPr>
          <w:rFonts w:ascii="Times New Roman" w:hAnsi="Times New Roman" w:cs="Times New Roman"/>
        </w:rPr>
        <w:t>Based on numerous</w:t>
      </w:r>
      <w:r w:rsidRPr="003337A9">
        <w:rPr>
          <w:rFonts w:ascii="Times New Roman" w:hAnsi="Times New Roman" w:cs="Times New Roman"/>
        </w:rPr>
        <w:t>studies, itdemonstrates</w:t>
      </w:r>
      <w:r w:rsidR="003337A9" w:rsidRPr="003337A9">
        <w:rPr>
          <w:rFonts w:ascii="Times New Roman" w:hAnsi="Times New Roman" w:cs="Times New Roman"/>
        </w:rPr>
        <w:t xml:space="preserve"> that responsible business practices can drive long-term profitability. </w:t>
      </w:r>
      <w:r>
        <w:rPr>
          <w:rFonts w:ascii="Times New Roman" w:hAnsi="Times New Roman" w:cs="Times New Roman"/>
        </w:rPr>
        <w:t xml:space="preserve">One of the major examples consists of </w:t>
      </w:r>
      <w:r w:rsidR="003337A9" w:rsidRPr="003337A9">
        <w:rPr>
          <w:rFonts w:ascii="Times New Roman" w:hAnsi="Times New Roman" w:cs="Times New Roman"/>
        </w:rPr>
        <w:t xml:space="preserve">a company that invests in sustainable </w:t>
      </w:r>
      <w:r w:rsidRPr="003337A9">
        <w:rPr>
          <w:rFonts w:ascii="Times New Roman" w:hAnsi="Times New Roman" w:cs="Times New Roman"/>
        </w:rPr>
        <w:t>practices that</w:t>
      </w:r>
      <w:r w:rsidR="003337A9" w:rsidRPr="003337A9">
        <w:rPr>
          <w:rFonts w:ascii="Times New Roman" w:hAnsi="Times New Roman" w:cs="Times New Roman"/>
        </w:rPr>
        <w:t xml:space="preserve"> may reduce long-term operational costs, improve brand reputation, and attract socially conscious consumers </w:t>
      </w:r>
      <w:r w:rsidR="002179BE">
        <w:rPr>
          <w:rFonts w:ascii="Times New Roman" w:hAnsi="Times New Roman" w:cs="Times New Roman"/>
        </w:rPr>
        <w:t>(Qomariah&amp;Satoto, 2021)</w:t>
      </w:r>
      <w:r w:rsidR="003337A9" w:rsidRPr="00333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It is important to note that the </w:t>
      </w:r>
      <w:r w:rsidR="003337A9" w:rsidRPr="003337A9">
        <w:rPr>
          <w:rFonts w:ascii="Times New Roman" w:hAnsi="Times New Roman" w:cs="Times New Roman"/>
        </w:rPr>
        <w:t xml:space="preserve">socially responsible companies often experience higher employee retention and productivity, as workers are more likely to engage with organizations that reflect their values </w:t>
      </w:r>
      <w:r w:rsidR="002179BE">
        <w:rPr>
          <w:rFonts w:ascii="Times New Roman" w:hAnsi="Times New Roman" w:cs="Times New Roman"/>
        </w:rPr>
        <w:t>(Hasan et al., 2025)</w:t>
      </w:r>
      <w:r w:rsidR="003337A9" w:rsidRPr="00333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So, on the basis of t</w:t>
      </w:r>
      <w:r w:rsidR="003337A9" w:rsidRPr="003337A9">
        <w:rPr>
          <w:rFonts w:ascii="Times New Roman" w:hAnsi="Times New Roman" w:cs="Times New Roman"/>
        </w:rPr>
        <w:t xml:space="preserve">his </w:t>
      </w:r>
      <w:r w:rsidRPr="003337A9">
        <w:rPr>
          <w:rFonts w:ascii="Times New Roman" w:hAnsi="Times New Roman" w:cs="Times New Roman"/>
        </w:rPr>
        <w:t>alignment,</w:t>
      </w:r>
      <w:r>
        <w:rPr>
          <w:rFonts w:ascii="Times New Roman" w:hAnsi="Times New Roman" w:cs="Times New Roman"/>
        </w:rPr>
        <w:t xml:space="preserve">which ultimately </w:t>
      </w:r>
      <w:r w:rsidRPr="003337A9">
        <w:rPr>
          <w:rFonts w:ascii="Times New Roman" w:hAnsi="Times New Roman" w:cs="Times New Roman"/>
        </w:rPr>
        <w:t>reduces</w:t>
      </w:r>
      <w:r w:rsidR="003337A9" w:rsidRPr="003337A9">
        <w:rPr>
          <w:rFonts w:ascii="Times New Roman" w:hAnsi="Times New Roman" w:cs="Times New Roman"/>
        </w:rPr>
        <w:t xml:space="preserve"> hiring and training costs while fostering a positive work culture.</w:t>
      </w:r>
    </w:p>
    <w:p w:rsidR="003337A9" w:rsidRPr="003337A9" w:rsidRDefault="001650AE" w:rsidP="006A146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the </w:t>
      </w:r>
      <w:r w:rsidR="003337A9" w:rsidRPr="003337A9">
        <w:rPr>
          <w:rFonts w:ascii="Times New Roman" w:hAnsi="Times New Roman" w:cs="Times New Roman"/>
        </w:rPr>
        <w:t xml:space="preserve">governments and investors </w:t>
      </w:r>
      <w:r>
        <w:rPr>
          <w:rFonts w:ascii="Times New Roman" w:hAnsi="Times New Roman" w:cs="Times New Roman"/>
        </w:rPr>
        <w:t xml:space="preserve">which </w:t>
      </w:r>
      <w:r w:rsidR="003337A9" w:rsidRPr="003337A9">
        <w:rPr>
          <w:rFonts w:ascii="Times New Roman" w:hAnsi="Times New Roman" w:cs="Times New Roman"/>
        </w:rPr>
        <w:t xml:space="preserve">are increasingly holding businesses accountable for their social and environmental impacts. </w:t>
      </w:r>
      <w:r>
        <w:rPr>
          <w:rFonts w:ascii="Times New Roman" w:hAnsi="Times New Roman" w:cs="Times New Roman"/>
        </w:rPr>
        <w:t xml:space="preserve">Based on the </w:t>
      </w:r>
      <w:r w:rsidR="003337A9" w:rsidRPr="003337A9">
        <w:rPr>
          <w:rFonts w:ascii="Times New Roman" w:hAnsi="Times New Roman" w:cs="Times New Roman"/>
        </w:rPr>
        <w:t>rise of Environmental, Social, and Governance (ESG)</w:t>
      </w:r>
      <w:r w:rsidRPr="003337A9">
        <w:rPr>
          <w:rFonts w:ascii="Times New Roman" w:hAnsi="Times New Roman" w:cs="Times New Roman"/>
        </w:rPr>
        <w:t>, criteriahave</w:t>
      </w:r>
      <w:r w:rsidR="003337A9" w:rsidRPr="003337A9">
        <w:rPr>
          <w:rFonts w:ascii="Times New Roman" w:hAnsi="Times New Roman" w:cs="Times New Roman"/>
        </w:rPr>
        <w:t xml:space="preserve"> created financial incentives for companies to prioritize social responsibility. </w:t>
      </w:r>
      <w:r>
        <w:rPr>
          <w:rFonts w:ascii="Times New Roman" w:hAnsi="Times New Roman" w:cs="Times New Roman"/>
        </w:rPr>
        <w:t xml:space="preserve">Despite the various factors, </w:t>
      </w:r>
      <w:r w:rsidR="003337A9" w:rsidRPr="003337A9">
        <w:rPr>
          <w:rFonts w:ascii="Times New Roman" w:hAnsi="Times New Roman" w:cs="Times New Roman"/>
        </w:rPr>
        <w:t xml:space="preserve">firms that score </w:t>
      </w:r>
      <w:r w:rsidR="003337A9" w:rsidRPr="003337A9">
        <w:rPr>
          <w:rFonts w:ascii="Times New Roman" w:hAnsi="Times New Roman" w:cs="Times New Roman"/>
        </w:rPr>
        <w:lastRenderedPageBreak/>
        <w:t xml:space="preserve">highly on ESG metrics often outperform their peers financially over the long term, benefiting from lower regulatory risks and stronger customer loyalty </w:t>
      </w:r>
      <w:r w:rsidR="002179BE">
        <w:rPr>
          <w:rFonts w:ascii="Times New Roman" w:hAnsi="Times New Roman" w:cs="Times New Roman"/>
        </w:rPr>
        <w:t>(Suteja et al., 2023)</w:t>
      </w:r>
      <w:r w:rsidR="003337A9" w:rsidRPr="003337A9">
        <w:rPr>
          <w:rFonts w:ascii="Times New Roman" w:hAnsi="Times New Roman" w:cs="Times New Roman"/>
        </w:rPr>
        <w:t>.</w:t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  <w:b/>
          <w:bCs/>
        </w:rPr>
        <w:t>Challenges and Criticisms of Social Responsibility</w:t>
      </w:r>
    </w:p>
    <w:p w:rsidR="003337A9" w:rsidRPr="003337A9" w:rsidRDefault="001650AE" w:rsidP="006A146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analysed from recent research that it tends to contain various </w:t>
      </w:r>
      <w:r w:rsidR="003337A9" w:rsidRPr="003337A9">
        <w:rPr>
          <w:rFonts w:ascii="Times New Roman" w:hAnsi="Times New Roman" w:cs="Times New Roman"/>
        </w:rPr>
        <w:t>advantages, integrating social responsibility into business strategy is not without challenges</w:t>
      </w:r>
      <w:r>
        <w:rPr>
          <w:rFonts w:ascii="Times New Roman" w:hAnsi="Times New Roman" w:cs="Times New Roman"/>
        </w:rPr>
        <w:t xml:space="preserve"> such as c</w:t>
      </w:r>
      <w:r w:rsidR="003337A9" w:rsidRPr="003337A9">
        <w:rPr>
          <w:rFonts w:ascii="Times New Roman" w:hAnsi="Times New Roman" w:cs="Times New Roman"/>
        </w:rPr>
        <w:t xml:space="preserve">ritics argue that focusing too much on social issues can distract from the core goal of maximizing shareholder value. </w:t>
      </w:r>
      <w:r>
        <w:rPr>
          <w:rFonts w:ascii="Times New Roman" w:hAnsi="Times New Roman" w:cs="Times New Roman"/>
        </w:rPr>
        <w:t>According to Milton</w:t>
      </w:r>
      <w:r w:rsidRPr="003337A9">
        <w:rPr>
          <w:rFonts w:ascii="Times New Roman" w:hAnsi="Times New Roman" w:cs="Times New Roman"/>
        </w:rPr>
        <w:t>Friedman,</w:t>
      </w:r>
      <w:r>
        <w:rPr>
          <w:rFonts w:ascii="Times New Roman" w:hAnsi="Times New Roman" w:cs="Times New Roman"/>
        </w:rPr>
        <w:t xml:space="preserve">which </w:t>
      </w:r>
      <w:r w:rsidR="003337A9" w:rsidRPr="003337A9">
        <w:rPr>
          <w:rFonts w:ascii="Times New Roman" w:hAnsi="Times New Roman" w:cs="Times New Roman"/>
        </w:rPr>
        <w:t xml:space="preserve">famously argued that the primary responsibility of business is to increase its profits, leaving social issues to governments and nonprofits. </w:t>
      </w:r>
      <w:r>
        <w:rPr>
          <w:rFonts w:ascii="Times New Roman" w:hAnsi="Times New Roman" w:cs="Times New Roman"/>
        </w:rPr>
        <w:t>On the basis of t</w:t>
      </w:r>
      <w:r w:rsidR="003337A9" w:rsidRPr="003337A9">
        <w:rPr>
          <w:rFonts w:ascii="Times New Roman" w:hAnsi="Times New Roman" w:cs="Times New Roman"/>
        </w:rPr>
        <w:t xml:space="preserve">his </w:t>
      </w:r>
      <w:r w:rsidRPr="003337A9">
        <w:rPr>
          <w:rFonts w:ascii="Times New Roman" w:hAnsi="Times New Roman" w:cs="Times New Roman"/>
        </w:rPr>
        <w:t>perspective,</w:t>
      </w:r>
      <w:r>
        <w:rPr>
          <w:rFonts w:ascii="Times New Roman" w:hAnsi="Times New Roman" w:cs="Times New Roman"/>
        </w:rPr>
        <w:t xml:space="preserve">which ultimately </w:t>
      </w:r>
      <w:r w:rsidR="003337A9" w:rsidRPr="003337A9">
        <w:rPr>
          <w:rFonts w:ascii="Times New Roman" w:hAnsi="Times New Roman" w:cs="Times New Roman"/>
        </w:rPr>
        <w:t>remains influential, particularly among traditional economists and investors who prioritize short-term returns over long-term sustainability.</w:t>
      </w:r>
    </w:p>
    <w:p w:rsidR="003337A9" w:rsidRPr="003337A9" w:rsidRDefault="002179BE" w:rsidP="006A146D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 is evident from the recent studies that there are various </w:t>
      </w:r>
      <w:r w:rsidR="003337A9" w:rsidRPr="003337A9">
        <w:rPr>
          <w:rFonts w:ascii="Times New Roman" w:hAnsi="Times New Roman" w:cs="Times New Roman"/>
        </w:rPr>
        <w:t xml:space="preserve">challenges </w:t>
      </w:r>
      <w:r>
        <w:rPr>
          <w:rFonts w:ascii="Times New Roman" w:hAnsi="Times New Roman" w:cs="Times New Roman"/>
        </w:rPr>
        <w:t xml:space="preserve">which are required to be </w:t>
      </w:r>
      <w:r w:rsidR="003337A9" w:rsidRPr="003337A9">
        <w:rPr>
          <w:rFonts w:ascii="Times New Roman" w:hAnsi="Times New Roman" w:cs="Times New Roman"/>
        </w:rPr>
        <w:t>implementing socially responsible practices</w:t>
      </w:r>
      <w:r>
        <w:rPr>
          <w:rFonts w:ascii="Times New Roman" w:hAnsi="Times New Roman" w:cs="Times New Roman"/>
        </w:rPr>
        <w:t xml:space="preserve"> such as </w:t>
      </w:r>
      <w:r w:rsidR="003337A9" w:rsidRPr="003337A9">
        <w:rPr>
          <w:rFonts w:ascii="Times New Roman" w:hAnsi="Times New Roman" w:cs="Times New Roman"/>
        </w:rPr>
        <w:t xml:space="preserve">companies in competitive industries may struggle to justify the initial costs of sustainable initiatives. </w:t>
      </w:r>
      <w:r>
        <w:rPr>
          <w:rFonts w:ascii="Times New Roman" w:hAnsi="Times New Roman" w:cs="Times New Roman"/>
        </w:rPr>
        <w:t>In accoradnace with the s</w:t>
      </w:r>
      <w:r w:rsidR="003337A9" w:rsidRPr="003337A9">
        <w:rPr>
          <w:rFonts w:ascii="Times New Roman" w:hAnsi="Times New Roman" w:cs="Times New Roman"/>
        </w:rPr>
        <w:t xml:space="preserve">mall and medium-sized enterprises (SMEs) may also lack the resources to invest in robust CSR programs, potentially placing them at a disadvantage compared to larger, well-funded corporations </w:t>
      </w:r>
      <w:r>
        <w:rPr>
          <w:rFonts w:ascii="Times New Roman" w:hAnsi="Times New Roman" w:cs="Times New Roman"/>
        </w:rPr>
        <w:t>(Hasan et al., 2025)</w:t>
      </w:r>
      <w:r w:rsidR="003337A9" w:rsidRPr="003337A9">
        <w:rPr>
          <w:rFonts w:ascii="Times New Roman" w:hAnsi="Times New Roman" w:cs="Times New Roman"/>
        </w:rPr>
        <w:t>.</w:t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  <w:b/>
          <w:bCs/>
        </w:rPr>
        <w:t>Balancing Profit and Social Impact</w:t>
      </w:r>
    </w:p>
    <w:p w:rsidR="003337A9" w:rsidRPr="003337A9" w:rsidRDefault="002179BE" w:rsidP="0072454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However, it is important to understand that in order to </w:t>
      </w:r>
      <w:r w:rsidR="003337A9" w:rsidRPr="003337A9">
        <w:rPr>
          <w:rFonts w:ascii="Times New Roman" w:hAnsi="Times New Roman" w:cs="Times New Roman"/>
        </w:rPr>
        <w:t xml:space="preserve">strike a balance between profit and social responsibility, many companies adopt the shared value approach, which focuses on creating economic value in a way that also produces value for society. </w:t>
      </w:r>
      <w:r>
        <w:rPr>
          <w:rFonts w:ascii="Times New Roman" w:hAnsi="Times New Roman" w:cs="Times New Roman"/>
        </w:rPr>
        <w:t>On the basis of t</w:t>
      </w:r>
      <w:r w:rsidR="003337A9" w:rsidRPr="003337A9">
        <w:rPr>
          <w:rFonts w:ascii="Times New Roman" w:hAnsi="Times New Roman" w:cs="Times New Roman"/>
        </w:rPr>
        <w:t xml:space="preserve">his </w:t>
      </w:r>
      <w:r w:rsidRPr="003337A9">
        <w:rPr>
          <w:rFonts w:ascii="Times New Roman" w:hAnsi="Times New Roman" w:cs="Times New Roman"/>
        </w:rPr>
        <w:t>concept,</w:t>
      </w:r>
      <w:r>
        <w:rPr>
          <w:rFonts w:ascii="Times New Roman" w:hAnsi="Times New Roman" w:cs="Times New Roman"/>
        </w:rPr>
        <w:t xml:space="preserve"> which is ultimately </w:t>
      </w:r>
      <w:r w:rsidR="003337A9" w:rsidRPr="003337A9">
        <w:rPr>
          <w:rFonts w:ascii="Times New Roman" w:hAnsi="Times New Roman" w:cs="Times New Roman"/>
        </w:rPr>
        <w:t xml:space="preserve">popularized by Michael Porter and Mark Kramer, encourages businesses to identify areas where societal needs intersect with business opportunities, creating mutual benefits </w:t>
      </w:r>
      <w:r>
        <w:rPr>
          <w:rFonts w:ascii="Times New Roman" w:hAnsi="Times New Roman" w:cs="Times New Roman"/>
        </w:rPr>
        <w:t>(Qomariah&amp;Satoto, 2021)</w:t>
      </w:r>
      <w:r w:rsidR="003337A9" w:rsidRPr="003337A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One of the major examples tends to be </w:t>
      </w:r>
      <w:r>
        <w:rPr>
          <w:rFonts w:ascii="Times New Roman" w:hAnsi="Times New Roman" w:cs="Times New Roman"/>
        </w:rPr>
        <w:lastRenderedPageBreak/>
        <w:t xml:space="preserve">consists of </w:t>
      </w:r>
      <w:r w:rsidR="003337A9" w:rsidRPr="003337A9">
        <w:rPr>
          <w:rFonts w:ascii="Times New Roman" w:hAnsi="Times New Roman" w:cs="Times New Roman"/>
        </w:rPr>
        <w:t xml:space="preserve">companies like Unilever and </w:t>
      </w:r>
      <w:r w:rsidRPr="003337A9">
        <w:rPr>
          <w:rFonts w:ascii="Times New Roman" w:hAnsi="Times New Roman" w:cs="Times New Roman"/>
        </w:rPr>
        <w:t>Patagonia who</w:t>
      </w:r>
      <w:r w:rsidR="003337A9" w:rsidRPr="003337A9">
        <w:rPr>
          <w:rFonts w:ascii="Times New Roman" w:hAnsi="Times New Roman" w:cs="Times New Roman"/>
        </w:rPr>
        <w:t xml:space="preserve"> have integrated social impact into their core business models, demonstrating that profit and purpose can coexist.</w:t>
      </w:r>
    </w:p>
    <w:p w:rsidR="003337A9" w:rsidRPr="003337A9" w:rsidRDefault="002179BE" w:rsidP="00724547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According to </w:t>
      </w:r>
      <w:r w:rsidR="003337A9" w:rsidRPr="003337A9">
        <w:rPr>
          <w:rFonts w:ascii="Times New Roman" w:hAnsi="Times New Roman" w:cs="Times New Roman"/>
        </w:rPr>
        <w:t xml:space="preserve">some </w:t>
      </w:r>
      <w:r w:rsidRPr="003337A9">
        <w:rPr>
          <w:rFonts w:ascii="Times New Roman" w:hAnsi="Times New Roman" w:cs="Times New Roman"/>
        </w:rPr>
        <w:t>firms,</w:t>
      </w:r>
      <w:r>
        <w:rPr>
          <w:rFonts w:ascii="Times New Roman" w:hAnsi="Times New Roman" w:cs="Times New Roman"/>
        </w:rPr>
        <w:t xml:space="preserve">which tend to </w:t>
      </w:r>
      <w:r w:rsidR="003337A9" w:rsidRPr="003337A9">
        <w:rPr>
          <w:rFonts w:ascii="Times New Roman" w:hAnsi="Times New Roman" w:cs="Times New Roman"/>
        </w:rPr>
        <w:t xml:space="preserve">use a triple bottom line approach, measuring success not just in terms of financial profit, but also social and environmental impact. </w:t>
      </w:r>
      <w:r>
        <w:rPr>
          <w:rFonts w:ascii="Times New Roman" w:hAnsi="Times New Roman" w:cs="Times New Roman"/>
        </w:rPr>
        <w:t>As per t</w:t>
      </w:r>
      <w:r w:rsidR="003337A9" w:rsidRPr="003337A9">
        <w:rPr>
          <w:rFonts w:ascii="Times New Roman" w:hAnsi="Times New Roman" w:cs="Times New Roman"/>
        </w:rPr>
        <w:t xml:space="preserve">his holistic view, known as the 3Ps (People, Planet, Profit), encourages businesses to consider a broader range of stakeholders in their decision-making processes </w:t>
      </w:r>
      <w:r>
        <w:rPr>
          <w:rFonts w:ascii="Times New Roman" w:hAnsi="Times New Roman" w:cs="Times New Roman"/>
        </w:rPr>
        <w:t>(Suteja et al., 2023)</w:t>
      </w:r>
      <w:r w:rsidR="003337A9" w:rsidRPr="003337A9">
        <w:rPr>
          <w:rFonts w:ascii="Times New Roman" w:hAnsi="Times New Roman" w:cs="Times New Roman"/>
        </w:rPr>
        <w:t>.</w:t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  <w:b/>
          <w:bCs/>
        </w:rPr>
        <w:t>Conclusion</w:t>
      </w:r>
    </w:p>
    <w:p w:rsidR="003337A9" w:rsidRPr="003337A9" w:rsidRDefault="003337A9" w:rsidP="00065382">
      <w:pPr>
        <w:spacing w:line="480" w:lineRule="auto"/>
        <w:ind w:firstLine="720"/>
        <w:jc w:val="both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</w:rPr>
        <w:t>I</w:t>
      </w:r>
      <w:r w:rsidR="002179BE">
        <w:rPr>
          <w:rFonts w:ascii="Times New Roman" w:hAnsi="Times New Roman" w:cs="Times New Roman"/>
        </w:rPr>
        <w:t xml:space="preserve">t tends to be concluded from the above analysis that the </w:t>
      </w:r>
      <w:r w:rsidRPr="003337A9">
        <w:rPr>
          <w:rFonts w:ascii="Times New Roman" w:hAnsi="Times New Roman" w:cs="Times New Roman"/>
        </w:rPr>
        <w:t>economics of social responsibility and profit involve complex trade-offs but offer significant long-term benefits</w:t>
      </w:r>
      <w:r w:rsidR="002179BE">
        <w:rPr>
          <w:rFonts w:ascii="Times New Roman" w:hAnsi="Times New Roman" w:cs="Times New Roman"/>
        </w:rPr>
        <w:t xml:space="preserve"> such as b</w:t>
      </w:r>
      <w:r w:rsidRPr="003337A9">
        <w:rPr>
          <w:rFonts w:ascii="Times New Roman" w:hAnsi="Times New Roman" w:cs="Times New Roman"/>
        </w:rPr>
        <w:t xml:space="preserve">y integrating ethical practices and social impact into their strategies, companies can enhance their financial performance, build stronger relationships with customers and communities, and contribute to a more sustainable world. </w:t>
      </w:r>
      <w:r w:rsidR="002179BE">
        <w:rPr>
          <w:rFonts w:ascii="Times New Roman" w:hAnsi="Times New Roman" w:cs="Times New Roman"/>
        </w:rPr>
        <w:t>Despite the various challenges regarding global</w:t>
      </w:r>
      <w:r w:rsidRPr="003337A9">
        <w:rPr>
          <w:rFonts w:ascii="Times New Roman" w:hAnsi="Times New Roman" w:cs="Times New Roman"/>
        </w:rPr>
        <w:t xml:space="preserve"> challenges like climate change and social inequality </w:t>
      </w:r>
      <w:r w:rsidR="002179BE" w:rsidRPr="003337A9">
        <w:rPr>
          <w:rFonts w:ascii="Times New Roman" w:hAnsi="Times New Roman" w:cs="Times New Roman"/>
        </w:rPr>
        <w:t>becoming</w:t>
      </w:r>
      <w:r w:rsidRPr="003337A9">
        <w:rPr>
          <w:rFonts w:ascii="Times New Roman" w:hAnsi="Times New Roman" w:cs="Times New Roman"/>
        </w:rPr>
        <w:t xml:space="preserve"> more pressing, the need for socially responsible business practices will only grow, making this a critical area of focus for business leaders and economists alike.</w:t>
      </w:r>
    </w:p>
    <w:p w:rsidR="003337A9" w:rsidRDefault="003337A9">
      <w:pPr>
        <w:spacing w:after="200" w:line="276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:rsidR="003337A9" w:rsidRPr="003337A9" w:rsidRDefault="003337A9" w:rsidP="003337A9">
      <w:pPr>
        <w:spacing w:line="480" w:lineRule="auto"/>
        <w:jc w:val="center"/>
        <w:rPr>
          <w:rFonts w:ascii="Times New Roman" w:hAnsi="Times New Roman" w:cs="Times New Roman"/>
        </w:rPr>
      </w:pPr>
      <w:r w:rsidRPr="003337A9">
        <w:rPr>
          <w:rFonts w:ascii="Times New Roman" w:hAnsi="Times New Roman" w:cs="Times New Roman"/>
          <w:b/>
          <w:bCs/>
        </w:rPr>
        <w:lastRenderedPageBreak/>
        <w:t>References</w:t>
      </w:r>
    </w:p>
    <w:p w:rsidR="00C83580" w:rsidRDefault="00177569" w:rsidP="00FB4E73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177569">
        <w:rPr>
          <w:rFonts w:ascii="Times New Roman" w:hAnsi="Times New Roman" w:cs="Times New Roman"/>
        </w:rPr>
        <w:t>Suteja, J., Gunardi, A., Alghifari, E. S., Susiadi, A. A., Yulianti, A. S., &amp; Lestari, A. (2023). Investment decision and firm value: moderating effects of corporate social responsibility and profitability of non-financial sector companies on the Indonesia stock exchange. </w:t>
      </w:r>
      <w:r w:rsidRPr="00177569">
        <w:rPr>
          <w:rFonts w:ascii="Times New Roman" w:hAnsi="Times New Roman" w:cs="Times New Roman"/>
          <w:i/>
          <w:iCs/>
        </w:rPr>
        <w:t>Journal of Risk and Financial Management</w:t>
      </w:r>
      <w:r w:rsidRPr="00177569">
        <w:rPr>
          <w:rFonts w:ascii="Times New Roman" w:hAnsi="Times New Roman" w:cs="Times New Roman"/>
        </w:rPr>
        <w:t>, </w:t>
      </w:r>
      <w:r w:rsidRPr="00177569">
        <w:rPr>
          <w:rFonts w:ascii="Times New Roman" w:hAnsi="Times New Roman" w:cs="Times New Roman"/>
          <w:i/>
          <w:iCs/>
        </w:rPr>
        <w:t>16</w:t>
      </w:r>
      <w:r w:rsidRPr="00177569">
        <w:rPr>
          <w:rFonts w:ascii="Times New Roman" w:hAnsi="Times New Roman" w:cs="Times New Roman"/>
        </w:rPr>
        <w:t>(1), 40.</w:t>
      </w:r>
    </w:p>
    <w:p w:rsidR="00177569" w:rsidRDefault="00177569" w:rsidP="00FB4E73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177569">
        <w:rPr>
          <w:rFonts w:ascii="Times New Roman" w:hAnsi="Times New Roman" w:cs="Times New Roman"/>
        </w:rPr>
        <w:t>Qomariah, N., &amp;Satoto, E. B. (2021). Improving financial performance and profits of pharmaceutical companies during a pandemic: Study on environmental performance, intellectual capital and social responsibility. </w:t>
      </w:r>
      <w:r w:rsidRPr="00177569">
        <w:rPr>
          <w:rFonts w:ascii="Times New Roman" w:hAnsi="Times New Roman" w:cs="Times New Roman"/>
          <w:i/>
          <w:iCs/>
        </w:rPr>
        <w:t>Calitatea</w:t>
      </w:r>
      <w:r w:rsidRPr="00177569">
        <w:rPr>
          <w:rFonts w:ascii="Times New Roman" w:hAnsi="Times New Roman" w:cs="Times New Roman"/>
        </w:rPr>
        <w:t>, </w:t>
      </w:r>
      <w:r w:rsidRPr="00177569">
        <w:rPr>
          <w:rFonts w:ascii="Times New Roman" w:hAnsi="Times New Roman" w:cs="Times New Roman"/>
          <w:i/>
          <w:iCs/>
        </w:rPr>
        <w:t>22</w:t>
      </w:r>
      <w:r w:rsidRPr="00177569">
        <w:rPr>
          <w:rFonts w:ascii="Times New Roman" w:hAnsi="Times New Roman" w:cs="Times New Roman"/>
        </w:rPr>
        <w:t>(184), 154-165.</w:t>
      </w:r>
    </w:p>
    <w:p w:rsidR="00177569" w:rsidRPr="003337A9" w:rsidRDefault="00177569" w:rsidP="00FB4E73">
      <w:pPr>
        <w:spacing w:line="480" w:lineRule="auto"/>
        <w:ind w:left="720" w:hanging="720"/>
        <w:jc w:val="both"/>
        <w:rPr>
          <w:rFonts w:ascii="Times New Roman" w:hAnsi="Times New Roman" w:cs="Times New Roman"/>
        </w:rPr>
      </w:pPr>
      <w:r w:rsidRPr="00177569">
        <w:rPr>
          <w:rFonts w:ascii="Times New Roman" w:hAnsi="Times New Roman" w:cs="Times New Roman"/>
        </w:rPr>
        <w:t>Hasan, I., Karavitis, P., Kazakis, P., &amp; Leung, W. S. (2025). Corporate social responsibility and profit shifting. </w:t>
      </w:r>
      <w:r w:rsidRPr="00177569">
        <w:rPr>
          <w:rFonts w:ascii="Times New Roman" w:hAnsi="Times New Roman" w:cs="Times New Roman"/>
          <w:i/>
          <w:iCs/>
        </w:rPr>
        <w:t>European Accounting Review</w:t>
      </w:r>
      <w:r w:rsidRPr="00177569">
        <w:rPr>
          <w:rFonts w:ascii="Times New Roman" w:hAnsi="Times New Roman" w:cs="Times New Roman"/>
        </w:rPr>
        <w:t>, </w:t>
      </w:r>
      <w:r w:rsidRPr="00177569">
        <w:rPr>
          <w:rFonts w:ascii="Times New Roman" w:hAnsi="Times New Roman" w:cs="Times New Roman"/>
          <w:i/>
          <w:iCs/>
        </w:rPr>
        <w:t>34</w:t>
      </w:r>
      <w:r w:rsidRPr="00177569">
        <w:rPr>
          <w:rFonts w:ascii="Times New Roman" w:hAnsi="Times New Roman" w:cs="Times New Roman"/>
        </w:rPr>
        <w:t>(1), 1-29.</w:t>
      </w:r>
    </w:p>
    <w:sectPr w:rsidR="00177569" w:rsidRPr="003337A9" w:rsidSect="007255F9">
      <w:pgSz w:w="11900" w:h="16840"/>
      <w:pgMar w:top="1440" w:right="1440" w:bottom="1440" w:left="1440" w:header="1440" w:footer="144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7405" w:rsidRDefault="00077405" w:rsidP="008A2ED5">
      <w:r>
        <w:separator/>
      </w:r>
    </w:p>
  </w:endnote>
  <w:endnote w:type="continuationSeparator" w:id="1">
    <w:p w:rsidR="00077405" w:rsidRDefault="00077405" w:rsidP="008A2E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7405" w:rsidRDefault="00077405" w:rsidP="008A2ED5">
      <w:r>
        <w:separator/>
      </w:r>
    </w:p>
  </w:footnote>
  <w:footnote w:type="continuationSeparator" w:id="1">
    <w:p w:rsidR="00077405" w:rsidRDefault="00077405" w:rsidP="008A2E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64172"/>
    <w:multiLevelType w:val="hybridMultilevel"/>
    <w:tmpl w:val="E3BC22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50763B"/>
    <w:multiLevelType w:val="hybridMultilevel"/>
    <w:tmpl w:val="04E04B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DB658E2"/>
    <w:multiLevelType w:val="hybridMultilevel"/>
    <w:tmpl w:val="3F1EC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2371DD"/>
    <w:multiLevelType w:val="hybridMultilevel"/>
    <w:tmpl w:val="15025A20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>
    <w:nsid w:val="71C13E7D"/>
    <w:multiLevelType w:val="hybridMultilevel"/>
    <w:tmpl w:val="B150F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NTI1tDA1NzEwMTI2NzJR0lEKTi0uzszPAykwrwUAEckPZiwAAAA="/>
  </w:docVars>
  <w:rsids>
    <w:rsidRoot w:val="002B2199"/>
    <w:rsid w:val="00003395"/>
    <w:rsid w:val="00031512"/>
    <w:rsid w:val="00044C57"/>
    <w:rsid w:val="000561F0"/>
    <w:rsid w:val="00064254"/>
    <w:rsid w:val="00065382"/>
    <w:rsid w:val="00077405"/>
    <w:rsid w:val="000834B3"/>
    <w:rsid w:val="00084F80"/>
    <w:rsid w:val="000919BD"/>
    <w:rsid w:val="000B54AB"/>
    <w:rsid w:val="000D2B77"/>
    <w:rsid w:val="000E53F2"/>
    <w:rsid w:val="000F18FB"/>
    <w:rsid w:val="001041EA"/>
    <w:rsid w:val="00117F0D"/>
    <w:rsid w:val="00164213"/>
    <w:rsid w:val="001650AE"/>
    <w:rsid w:val="00177569"/>
    <w:rsid w:val="00185E61"/>
    <w:rsid w:val="001979DD"/>
    <w:rsid w:val="001A03BA"/>
    <w:rsid w:val="001A6CE5"/>
    <w:rsid w:val="001A76BD"/>
    <w:rsid w:val="001B0555"/>
    <w:rsid w:val="001B6C61"/>
    <w:rsid w:val="001C7508"/>
    <w:rsid w:val="001C7E02"/>
    <w:rsid w:val="001E6590"/>
    <w:rsid w:val="001F2FD8"/>
    <w:rsid w:val="002179BE"/>
    <w:rsid w:val="00287125"/>
    <w:rsid w:val="002B2199"/>
    <w:rsid w:val="002C6316"/>
    <w:rsid w:val="002F234C"/>
    <w:rsid w:val="0032188E"/>
    <w:rsid w:val="003337A9"/>
    <w:rsid w:val="003633CC"/>
    <w:rsid w:val="0038204C"/>
    <w:rsid w:val="0039502D"/>
    <w:rsid w:val="00395111"/>
    <w:rsid w:val="003A7FE3"/>
    <w:rsid w:val="003B2612"/>
    <w:rsid w:val="003C68D2"/>
    <w:rsid w:val="003D5BAE"/>
    <w:rsid w:val="00417AA1"/>
    <w:rsid w:val="004207DF"/>
    <w:rsid w:val="00422402"/>
    <w:rsid w:val="0043081A"/>
    <w:rsid w:val="00461773"/>
    <w:rsid w:val="004A7F16"/>
    <w:rsid w:val="004B72F7"/>
    <w:rsid w:val="004D4783"/>
    <w:rsid w:val="004D5B53"/>
    <w:rsid w:val="004F69CA"/>
    <w:rsid w:val="0052322E"/>
    <w:rsid w:val="00524000"/>
    <w:rsid w:val="0054417A"/>
    <w:rsid w:val="00564AF4"/>
    <w:rsid w:val="00565D6C"/>
    <w:rsid w:val="00577137"/>
    <w:rsid w:val="00586946"/>
    <w:rsid w:val="00587607"/>
    <w:rsid w:val="005E0D5C"/>
    <w:rsid w:val="00606676"/>
    <w:rsid w:val="00617C2C"/>
    <w:rsid w:val="00626BDA"/>
    <w:rsid w:val="006474F3"/>
    <w:rsid w:val="00651ADA"/>
    <w:rsid w:val="00665B96"/>
    <w:rsid w:val="00666E61"/>
    <w:rsid w:val="006855BC"/>
    <w:rsid w:val="00692D6D"/>
    <w:rsid w:val="00697E3A"/>
    <w:rsid w:val="006A146D"/>
    <w:rsid w:val="006C4DCB"/>
    <w:rsid w:val="006F4E8D"/>
    <w:rsid w:val="00724547"/>
    <w:rsid w:val="007255F9"/>
    <w:rsid w:val="007350C8"/>
    <w:rsid w:val="00740747"/>
    <w:rsid w:val="00760B33"/>
    <w:rsid w:val="007843D8"/>
    <w:rsid w:val="00784C15"/>
    <w:rsid w:val="007A7ED5"/>
    <w:rsid w:val="007C3AA2"/>
    <w:rsid w:val="007D1100"/>
    <w:rsid w:val="00803DA8"/>
    <w:rsid w:val="00803F5B"/>
    <w:rsid w:val="008100EA"/>
    <w:rsid w:val="00812CCA"/>
    <w:rsid w:val="00830B88"/>
    <w:rsid w:val="00845F64"/>
    <w:rsid w:val="0086581A"/>
    <w:rsid w:val="00865D11"/>
    <w:rsid w:val="00866219"/>
    <w:rsid w:val="008674A5"/>
    <w:rsid w:val="0087065B"/>
    <w:rsid w:val="008A2ED5"/>
    <w:rsid w:val="008C675B"/>
    <w:rsid w:val="008D4C1F"/>
    <w:rsid w:val="008E2409"/>
    <w:rsid w:val="009109C2"/>
    <w:rsid w:val="00912414"/>
    <w:rsid w:val="00923A27"/>
    <w:rsid w:val="00967DB4"/>
    <w:rsid w:val="009801C9"/>
    <w:rsid w:val="009B24F3"/>
    <w:rsid w:val="009B5CD2"/>
    <w:rsid w:val="009E17C5"/>
    <w:rsid w:val="009E1FA0"/>
    <w:rsid w:val="00A01282"/>
    <w:rsid w:val="00A1076E"/>
    <w:rsid w:val="00A319C1"/>
    <w:rsid w:val="00A34A0A"/>
    <w:rsid w:val="00A840F5"/>
    <w:rsid w:val="00A93A62"/>
    <w:rsid w:val="00AF38F2"/>
    <w:rsid w:val="00B066F6"/>
    <w:rsid w:val="00B31139"/>
    <w:rsid w:val="00B5061C"/>
    <w:rsid w:val="00B552B2"/>
    <w:rsid w:val="00B80378"/>
    <w:rsid w:val="00B91518"/>
    <w:rsid w:val="00BC1948"/>
    <w:rsid w:val="00BC4B20"/>
    <w:rsid w:val="00BE330F"/>
    <w:rsid w:val="00C01A6B"/>
    <w:rsid w:val="00C04FCB"/>
    <w:rsid w:val="00C20757"/>
    <w:rsid w:val="00C31AAC"/>
    <w:rsid w:val="00C83580"/>
    <w:rsid w:val="00C85FC0"/>
    <w:rsid w:val="00CA7C9C"/>
    <w:rsid w:val="00CB0E83"/>
    <w:rsid w:val="00CC221A"/>
    <w:rsid w:val="00CE049B"/>
    <w:rsid w:val="00D423D1"/>
    <w:rsid w:val="00D86522"/>
    <w:rsid w:val="00D90C0B"/>
    <w:rsid w:val="00DA6903"/>
    <w:rsid w:val="00DD0739"/>
    <w:rsid w:val="00DF5C7B"/>
    <w:rsid w:val="00E12970"/>
    <w:rsid w:val="00E4246C"/>
    <w:rsid w:val="00E8404C"/>
    <w:rsid w:val="00EA3E7B"/>
    <w:rsid w:val="00EC7483"/>
    <w:rsid w:val="00ED3EDE"/>
    <w:rsid w:val="00EF030A"/>
    <w:rsid w:val="00F13FA5"/>
    <w:rsid w:val="00F84968"/>
    <w:rsid w:val="00F855A2"/>
    <w:rsid w:val="00F94FEF"/>
    <w:rsid w:val="00FB1455"/>
    <w:rsid w:val="00FB3A1B"/>
    <w:rsid w:val="00FB4E73"/>
    <w:rsid w:val="00FC7B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19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2199"/>
    <w:rPr>
      <w:color w:val="0000FF" w:themeColor="hyperlink"/>
      <w:u w:val="single"/>
    </w:rPr>
  </w:style>
  <w:style w:type="table" w:styleId="TableGrid">
    <w:name w:val="Table Grid"/>
    <w:basedOn w:val="TableNormal"/>
    <w:rsid w:val="000834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2ED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2E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2ED5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E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ED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A2E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43081A"/>
    <w:pPr>
      <w:ind w:left="720"/>
      <w:contextualSpacing/>
    </w:pPr>
  </w:style>
  <w:style w:type="table" w:styleId="LightShading">
    <w:name w:val="Light Shading"/>
    <w:basedOn w:val="TableNormal"/>
    <w:uiPriority w:val="60"/>
    <w:rsid w:val="007255F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20B48-4F6E-4FCF-AFBA-2DE50E08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2021-06-29T13:28:00Z</dcterms:created>
  <dcterms:modified xsi:type="dcterms:W3CDTF">2025-05-16T09:04:00Z</dcterms:modified>
</cp:coreProperties>
</file>