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7DCD" w14:textId="77777777" w:rsidR="00F468D1" w:rsidRPr="00B224B6" w:rsidRDefault="00F468D1" w:rsidP="00B224B6">
      <w:pPr>
        <w:spacing w:line="480" w:lineRule="auto"/>
        <w:ind w:firstLine="720"/>
        <w:jc w:val="center"/>
        <w:rPr>
          <w:b/>
          <w:bCs/>
        </w:rPr>
      </w:pPr>
    </w:p>
    <w:p w14:paraId="09AA434B" w14:textId="77777777" w:rsidR="00F468D1" w:rsidRPr="00B224B6" w:rsidRDefault="00F468D1" w:rsidP="00B224B6">
      <w:pPr>
        <w:spacing w:line="480" w:lineRule="auto"/>
        <w:ind w:firstLine="720"/>
        <w:jc w:val="center"/>
        <w:rPr>
          <w:b/>
          <w:bCs/>
        </w:rPr>
      </w:pPr>
    </w:p>
    <w:p w14:paraId="466FA396" w14:textId="77777777" w:rsidR="00F468D1" w:rsidRPr="00B224B6" w:rsidRDefault="00F468D1" w:rsidP="00B224B6">
      <w:pPr>
        <w:spacing w:line="480" w:lineRule="auto"/>
        <w:ind w:firstLine="720"/>
        <w:jc w:val="center"/>
        <w:rPr>
          <w:b/>
          <w:bCs/>
        </w:rPr>
      </w:pPr>
    </w:p>
    <w:p w14:paraId="0D8CF4B9" w14:textId="77777777" w:rsidR="00F468D1" w:rsidRPr="00B224B6" w:rsidRDefault="00F468D1" w:rsidP="00B224B6">
      <w:pPr>
        <w:spacing w:line="480" w:lineRule="auto"/>
        <w:ind w:firstLine="720"/>
        <w:jc w:val="center"/>
        <w:rPr>
          <w:b/>
          <w:bCs/>
        </w:rPr>
      </w:pPr>
    </w:p>
    <w:p w14:paraId="253C824D" w14:textId="04F9F25D" w:rsidR="00286395" w:rsidRPr="00B224B6" w:rsidRDefault="00F378C4" w:rsidP="00F378C4">
      <w:pPr>
        <w:spacing w:line="480" w:lineRule="auto"/>
        <w:jc w:val="center"/>
        <w:rPr>
          <w:b/>
          <w:bCs/>
        </w:rPr>
      </w:pPr>
      <w:r>
        <w:rPr>
          <w:b/>
          <w:bCs/>
        </w:rPr>
        <w:t>BUS</w:t>
      </w:r>
      <w:r w:rsidR="00094E0A">
        <w:rPr>
          <w:b/>
          <w:bCs/>
        </w:rPr>
        <w:t>530</w:t>
      </w:r>
      <w:r w:rsidR="003C7F15">
        <w:rPr>
          <w:b/>
          <w:bCs/>
        </w:rPr>
        <w:t xml:space="preserve"> </w:t>
      </w:r>
      <w:r w:rsidR="00352229">
        <w:rPr>
          <w:b/>
          <w:bCs/>
        </w:rPr>
        <w:t>Case</w:t>
      </w:r>
      <w:r w:rsidR="006624AB">
        <w:rPr>
          <w:b/>
          <w:bCs/>
        </w:rPr>
        <w:t xml:space="preserve"> </w:t>
      </w:r>
      <w:r w:rsidR="00AA22CA">
        <w:rPr>
          <w:b/>
          <w:bCs/>
        </w:rPr>
        <w:t>4</w:t>
      </w:r>
    </w:p>
    <w:p w14:paraId="215330E4" w14:textId="77777777" w:rsidR="00286395" w:rsidRPr="00B224B6" w:rsidRDefault="00286395" w:rsidP="00B224B6">
      <w:pPr>
        <w:spacing w:line="480" w:lineRule="auto"/>
        <w:ind w:firstLine="720"/>
        <w:jc w:val="center"/>
      </w:pPr>
    </w:p>
    <w:p w14:paraId="0C9670E1" w14:textId="77777777" w:rsidR="00454CAF" w:rsidRDefault="00454CAF" w:rsidP="00F378C4">
      <w:pPr>
        <w:spacing w:line="480" w:lineRule="auto"/>
        <w:jc w:val="center"/>
      </w:pPr>
      <w:r>
        <w:t>Your Name</w:t>
      </w:r>
    </w:p>
    <w:p w14:paraId="02750D95" w14:textId="77777777" w:rsidR="00454CAF" w:rsidRDefault="00454CAF" w:rsidP="00F378C4">
      <w:pPr>
        <w:spacing w:line="480" w:lineRule="auto"/>
        <w:jc w:val="center"/>
      </w:pPr>
      <w:r>
        <w:t xml:space="preserve">Trident University International </w:t>
      </w:r>
    </w:p>
    <w:p w14:paraId="3002A249" w14:textId="6214602D" w:rsidR="002C7462" w:rsidRDefault="002C7462" w:rsidP="00F378C4">
      <w:pPr>
        <w:spacing w:line="480" w:lineRule="auto"/>
        <w:jc w:val="center"/>
      </w:pPr>
      <w:r w:rsidRPr="002C7462">
        <w:t>BUS</w:t>
      </w:r>
      <w:r w:rsidR="00094E0A">
        <w:t>530</w:t>
      </w:r>
      <w:r w:rsidRPr="002C7462">
        <w:t xml:space="preserve"> </w:t>
      </w:r>
      <w:r w:rsidR="00094E0A">
        <w:t>Managerial Economics</w:t>
      </w:r>
    </w:p>
    <w:p w14:paraId="54C389E1" w14:textId="7A086B20" w:rsidR="00844EE7" w:rsidRPr="00B224B6" w:rsidRDefault="00454CAF" w:rsidP="00F378C4">
      <w:pPr>
        <w:spacing w:line="480" w:lineRule="auto"/>
        <w:jc w:val="center"/>
      </w:pPr>
      <w:r>
        <w:t>Due Date</w:t>
      </w:r>
    </w:p>
    <w:p w14:paraId="6C8D5EF8" w14:textId="56D46919" w:rsidR="003C7F15" w:rsidRPr="00B224B6" w:rsidRDefault="00352E8D" w:rsidP="003C7F15">
      <w:pPr>
        <w:spacing w:line="480" w:lineRule="auto"/>
        <w:jc w:val="center"/>
        <w:rPr>
          <w:b/>
          <w:bCs/>
        </w:rPr>
      </w:pPr>
      <w:r w:rsidRPr="00B224B6">
        <w:br w:type="page"/>
      </w:r>
    </w:p>
    <w:p w14:paraId="1DF862F2" w14:textId="669FAC58" w:rsidR="00D200BF" w:rsidRPr="00B224B6" w:rsidRDefault="00F378C4" w:rsidP="00B224B6">
      <w:pPr>
        <w:spacing w:line="480" w:lineRule="auto"/>
        <w:jc w:val="center"/>
        <w:rPr>
          <w:b/>
          <w:bCs/>
        </w:rPr>
      </w:pPr>
      <w:r>
        <w:rPr>
          <w:b/>
          <w:bCs/>
        </w:rPr>
        <w:lastRenderedPageBreak/>
        <w:t>BUS</w:t>
      </w:r>
      <w:r w:rsidR="00094E0A">
        <w:rPr>
          <w:b/>
          <w:bCs/>
        </w:rPr>
        <w:t>530</w:t>
      </w:r>
      <w:r w:rsidR="003C7F15">
        <w:rPr>
          <w:b/>
          <w:bCs/>
        </w:rPr>
        <w:t xml:space="preserve"> </w:t>
      </w:r>
      <w:r w:rsidR="00352229">
        <w:rPr>
          <w:b/>
          <w:bCs/>
        </w:rPr>
        <w:t>Case</w:t>
      </w:r>
      <w:r w:rsidR="006624AB">
        <w:rPr>
          <w:b/>
          <w:bCs/>
        </w:rPr>
        <w:t xml:space="preserve"> </w:t>
      </w:r>
      <w:r w:rsidR="00AA22CA">
        <w:rPr>
          <w:b/>
          <w:bCs/>
        </w:rPr>
        <w:t>4</w:t>
      </w:r>
    </w:p>
    <w:p w14:paraId="493BB542" w14:textId="10C6CCC3" w:rsidR="001C0806" w:rsidRDefault="001C0806" w:rsidP="00E5427F">
      <w:pPr>
        <w:spacing w:line="480" w:lineRule="auto"/>
        <w:jc w:val="center"/>
        <w:rPr>
          <w:rFonts w:eastAsia="Calibri"/>
          <w:b/>
          <w:bCs/>
        </w:rPr>
      </w:pPr>
      <w:r w:rsidRPr="001C0806">
        <w:rPr>
          <w:rFonts w:eastAsia="Calibri"/>
          <w:b/>
          <w:bCs/>
        </w:rPr>
        <w:t>Economic Justice and Organizational Strategy</w:t>
      </w:r>
    </w:p>
    <w:p w14:paraId="719BC887" w14:textId="009402CA" w:rsidR="004D706D" w:rsidRDefault="001C0806" w:rsidP="00E5427F">
      <w:pPr>
        <w:spacing w:line="480" w:lineRule="auto"/>
        <w:jc w:val="center"/>
        <w:rPr>
          <w:rFonts w:eastAsia="Calibri"/>
          <w:b/>
          <w:bCs/>
        </w:rPr>
      </w:pPr>
      <w:r>
        <w:rPr>
          <w:rFonts w:eastAsia="Calibri"/>
          <w:b/>
          <w:bCs/>
        </w:rPr>
        <w:t>Introduction</w:t>
      </w:r>
    </w:p>
    <w:p w14:paraId="658FB6FC" w14:textId="6A7D06C5" w:rsidR="001C0806" w:rsidRPr="00A83CE1" w:rsidRDefault="001C0806" w:rsidP="00871DCA">
      <w:pPr>
        <w:spacing w:line="480" w:lineRule="auto"/>
        <w:jc w:val="both"/>
        <w:rPr>
          <w:rFonts w:eastAsia="Calibri"/>
        </w:rPr>
      </w:pPr>
      <w:r w:rsidRPr="001C0806">
        <w:rPr>
          <w:rFonts w:eastAsia="Calibri"/>
        </w:rPr>
        <w:tab/>
      </w:r>
      <w:r>
        <w:rPr>
          <w:rFonts w:eastAsia="Calibri"/>
        </w:rPr>
        <w:t>It is evident from the studies that economic</w:t>
      </w:r>
      <w:r w:rsidRPr="001C0806">
        <w:rPr>
          <w:rFonts w:eastAsia="Calibri"/>
        </w:rPr>
        <w:t xml:space="preserve"> justice represents a critical aspect of both corporate responsibility and national development, aiming to ensure equitable access to economic opportunities and resources for all individuals</w:t>
      </w:r>
      <w:r w:rsidR="00403583">
        <w:rPr>
          <w:rFonts w:eastAsia="Calibri"/>
        </w:rPr>
        <w:t xml:space="preserve"> </w:t>
      </w:r>
      <w:r w:rsidR="00403583" w:rsidRPr="00403583">
        <w:rPr>
          <w:rFonts w:eastAsia="Calibri"/>
        </w:rPr>
        <w:t>(</w:t>
      </w:r>
      <w:proofErr w:type="spellStart"/>
      <w:r w:rsidR="00403583" w:rsidRPr="00403583">
        <w:rPr>
          <w:rFonts w:eastAsia="Calibri"/>
        </w:rPr>
        <w:t>Bohonos</w:t>
      </w:r>
      <w:proofErr w:type="spellEnd"/>
      <w:r w:rsidR="00403583" w:rsidRPr="00403583">
        <w:rPr>
          <w:rFonts w:eastAsia="Calibri"/>
        </w:rPr>
        <w:t xml:space="preserve"> &amp; Sisco, 2021)</w:t>
      </w:r>
      <w:r w:rsidRPr="001C0806">
        <w:rPr>
          <w:rFonts w:eastAsia="Calibri"/>
        </w:rPr>
        <w:t xml:space="preserve">. </w:t>
      </w:r>
      <w:r>
        <w:rPr>
          <w:rFonts w:eastAsia="Calibri"/>
        </w:rPr>
        <w:t xml:space="preserve">However, it tends to be comprised of a </w:t>
      </w:r>
      <w:r w:rsidRPr="001C0806">
        <w:rPr>
          <w:rFonts w:eastAsia="Calibri"/>
        </w:rPr>
        <w:t xml:space="preserve">fair distribution of wealth, opportunities, and privileges within a society, creating an environment where every person can achieve financial stability and social mobility. </w:t>
      </w:r>
      <w:r>
        <w:rPr>
          <w:rFonts w:eastAsia="Calibri"/>
        </w:rPr>
        <w:t>Based on recent</w:t>
      </w:r>
      <w:r w:rsidRPr="001C0806">
        <w:rPr>
          <w:rFonts w:eastAsia="Calibri"/>
        </w:rPr>
        <w:t xml:space="preserve"> years, global corporations have faced increasing pressure to prioritize economic justice, not only as a moral obligation but also as a strategic imperative for long-term growth and reputation management</w:t>
      </w:r>
      <w:r w:rsidR="00403583">
        <w:rPr>
          <w:rFonts w:eastAsia="Calibri"/>
        </w:rPr>
        <w:t xml:space="preserve"> </w:t>
      </w:r>
      <w:r w:rsidR="00403583" w:rsidRPr="00403583">
        <w:rPr>
          <w:rFonts w:eastAsia="Calibri"/>
        </w:rPr>
        <w:t>(</w:t>
      </w:r>
      <w:proofErr w:type="spellStart"/>
      <w:r w:rsidR="00403583" w:rsidRPr="00403583">
        <w:rPr>
          <w:rFonts w:eastAsia="Calibri"/>
        </w:rPr>
        <w:t>Córdova</w:t>
      </w:r>
      <w:proofErr w:type="spellEnd"/>
      <w:r w:rsidR="00403583" w:rsidRPr="00403583">
        <w:rPr>
          <w:rFonts w:eastAsia="Calibri"/>
        </w:rPr>
        <w:t>, Bravo, &amp; Acosta-</w:t>
      </w:r>
      <w:proofErr w:type="spellStart"/>
      <w:r w:rsidR="00403583" w:rsidRPr="00403583">
        <w:rPr>
          <w:rFonts w:eastAsia="Calibri"/>
        </w:rPr>
        <w:t>Córdova</w:t>
      </w:r>
      <w:proofErr w:type="spellEnd"/>
      <w:r w:rsidR="00403583" w:rsidRPr="00403583">
        <w:rPr>
          <w:rFonts w:eastAsia="Calibri"/>
        </w:rPr>
        <w:t>, 2023)</w:t>
      </w:r>
      <w:r w:rsidRPr="001C0806">
        <w:rPr>
          <w:rFonts w:eastAsia="Calibri"/>
        </w:rPr>
        <w:t>.</w:t>
      </w:r>
    </w:p>
    <w:p w14:paraId="64EB1624" w14:textId="5361A17D" w:rsidR="00736A12" w:rsidRDefault="00736A12" w:rsidP="00EF08C1">
      <w:pPr>
        <w:spacing w:line="480" w:lineRule="auto"/>
        <w:jc w:val="center"/>
        <w:rPr>
          <w:rFonts w:eastAsia="Calibri"/>
          <w:b/>
          <w:bCs/>
        </w:rPr>
      </w:pPr>
      <w:bookmarkStart w:id="0" w:name="_Hlk73365923"/>
      <w:r w:rsidRPr="00736A12">
        <w:rPr>
          <w:rFonts w:eastAsia="Calibri"/>
          <w:b/>
          <w:bCs/>
        </w:rPr>
        <w:t>Understanding Inequity and Economics</w:t>
      </w:r>
    </w:p>
    <w:p w14:paraId="0F0EA1B4" w14:textId="480B2A0D" w:rsidR="001C0806" w:rsidRPr="001C0806" w:rsidRDefault="00E90FDB" w:rsidP="00871DCA">
      <w:pPr>
        <w:spacing w:line="480" w:lineRule="auto"/>
        <w:ind w:firstLine="720"/>
        <w:jc w:val="both"/>
        <w:rPr>
          <w:rFonts w:eastAsia="Calibri"/>
        </w:rPr>
      </w:pPr>
      <w:r>
        <w:rPr>
          <w:rFonts w:eastAsia="Calibri"/>
        </w:rPr>
        <w:t xml:space="preserve">It is important to understand that the </w:t>
      </w:r>
      <w:r w:rsidR="001C0806" w:rsidRPr="001C0806">
        <w:rPr>
          <w:rFonts w:eastAsia="Calibri"/>
        </w:rPr>
        <w:t xml:space="preserve">Office Depot Inc., operating under The ODP Corporation, has demonstrated a commitment to economic justice and equity through various initiatives. </w:t>
      </w:r>
      <w:r>
        <w:rPr>
          <w:rFonts w:eastAsia="Calibri"/>
        </w:rPr>
        <w:t xml:space="preserve">In accordance with the </w:t>
      </w:r>
      <w:r w:rsidR="001C0806" w:rsidRPr="001C0806">
        <w:rPr>
          <w:rFonts w:eastAsia="Calibri"/>
        </w:rPr>
        <w:t>company's efforts encompass diversity and inclusion, supplier diversity, community engagement, and environmental sustainability</w:t>
      </w:r>
      <w:r w:rsidR="00403583">
        <w:rPr>
          <w:rFonts w:eastAsia="Calibri"/>
        </w:rPr>
        <w:t xml:space="preserve"> </w:t>
      </w:r>
      <w:r w:rsidR="00403583" w:rsidRPr="00403583">
        <w:rPr>
          <w:rFonts w:eastAsia="Calibri"/>
        </w:rPr>
        <w:t>(</w:t>
      </w:r>
      <w:proofErr w:type="spellStart"/>
      <w:r w:rsidR="00403583" w:rsidRPr="00403583">
        <w:rPr>
          <w:rFonts w:eastAsia="Calibri"/>
        </w:rPr>
        <w:t>Dzwigol</w:t>
      </w:r>
      <w:proofErr w:type="spellEnd"/>
      <w:r w:rsidR="00403583" w:rsidRPr="00403583">
        <w:rPr>
          <w:rFonts w:eastAsia="Calibri"/>
        </w:rPr>
        <w:t xml:space="preserve">, </w:t>
      </w:r>
      <w:proofErr w:type="spellStart"/>
      <w:r w:rsidR="00403583" w:rsidRPr="00403583">
        <w:rPr>
          <w:rFonts w:eastAsia="Calibri"/>
        </w:rPr>
        <w:t>Trushkina</w:t>
      </w:r>
      <w:proofErr w:type="spellEnd"/>
      <w:r w:rsidR="00403583" w:rsidRPr="00403583">
        <w:rPr>
          <w:rFonts w:eastAsia="Calibri"/>
        </w:rPr>
        <w:t xml:space="preserve">, &amp; </w:t>
      </w:r>
      <w:proofErr w:type="spellStart"/>
      <w:r w:rsidR="00403583" w:rsidRPr="00403583">
        <w:rPr>
          <w:rFonts w:eastAsia="Calibri"/>
        </w:rPr>
        <w:t>Kwilinski</w:t>
      </w:r>
      <w:proofErr w:type="spellEnd"/>
      <w:r w:rsidR="00403583" w:rsidRPr="00403583">
        <w:rPr>
          <w:rFonts w:eastAsia="Calibri"/>
        </w:rPr>
        <w:t>, 2021)</w:t>
      </w:r>
      <w:r w:rsidR="001C0806" w:rsidRPr="001C0806">
        <w:rPr>
          <w:rFonts w:eastAsia="Calibri"/>
        </w:rPr>
        <w:t xml:space="preserve">. </w:t>
      </w:r>
    </w:p>
    <w:p w14:paraId="1CF15EDF" w14:textId="1B485A2B" w:rsidR="001C0806" w:rsidRPr="001C0806" w:rsidRDefault="00E90FDB" w:rsidP="00EF08C1">
      <w:pPr>
        <w:spacing w:line="480" w:lineRule="auto"/>
        <w:ind w:firstLine="720"/>
        <w:jc w:val="both"/>
        <w:rPr>
          <w:rFonts w:eastAsia="Calibri"/>
        </w:rPr>
      </w:pPr>
      <w:r>
        <w:rPr>
          <w:rFonts w:eastAsia="Calibri"/>
        </w:rPr>
        <w:t xml:space="preserve">It also tends to </w:t>
      </w:r>
      <w:proofErr w:type="spellStart"/>
      <w:r>
        <w:rPr>
          <w:rFonts w:eastAsia="Calibri"/>
        </w:rPr>
        <w:t>analysed</w:t>
      </w:r>
      <w:proofErr w:type="spellEnd"/>
      <w:r>
        <w:rPr>
          <w:rFonts w:eastAsia="Calibri"/>
        </w:rPr>
        <w:t xml:space="preserve"> that the </w:t>
      </w:r>
      <w:r w:rsidR="001C0806" w:rsidRPr="001C0806">
        <w:rPr>
          <w:rFonts w:eastAsia="Calibri"/>
        </w:rPr>
        <w:t xml:space="preserve">Office Depot has been recognized for its dedication to fostering a diverse and inclusive workplace. </w:t>
      </w:r>
      <w:r>
        <w:rPr>
          <w:rFonts w:eastAsia="Calibri"/>
        </w:rPr>
        <w:t xml:space="preserve">So, on the basis of that the </w:t>
      </w:r>
      <w:r w:rsidR="001C0806" w:rsidRPr="001C0806">
        <w:rPr>
          <w:rFonts w:eastAsia="Calibri"/>
        </w:rPr>
        <w:t xml:space="preserve">company has received accolades such as being named one of America's Top Corporations for Women's Business Enterprises by the Women's Business Enterprise National Council and recognition from DiversityBusiness.com for multicultural business opportunities. </w:t>
      </w:r>
      <w:r>
        <w:rPr>
          <w:rFonts w:eastAsia="Calibri"/>
        </w:rPr>
        <w:t>Based on t</w:t>
      </w:r>
      <w:r w:rsidR="001C0806" w:rsidRPr="001C0806">
        <w:rPr>
          <w:rFonts w:eastAsia="Calibri"/>
        </w:rPr>
        <w:t xml:space="preserve">hese honors </w:t>
      </w:r>
      <w:r>
        <w:rPr>
          <w:rFonts w:eastAsia="Calibri"/>
        </w:rPr>
        <w:t xml:space="preserve">which </w:t>
      </w:r>
      <w:r>
        <w:rPr>
          <w:rFonts w:eastAsia="Calibri"/>
        </w:rPr>
        <w:lastRenderedPageBreak/>
        <w:t xml:space="preserve">ultimately </w:t>
      </w:r>
      <w:r w:rsidR="001C0806" w:rsidRPr="001C0806">
        <w:rPr>
          <w:rFonts w:eastAsia="Calibri"/>
        </w:rPr>
        <w:t>reflect Office Depot's initiatives to promote gender and ethnic diversity within its workforce and leadership</w:t>
      </w:r>
      <w:r w:rsidR="00403583">
        <w:rPr>
          <w:rFonts w:eastAsia="Calibri"/>
        </w:rPr>
        <w:t xml:space="preserve"> </w:t>
      </w:r>
      <w:r w:rsidR="00403583" w:rsidRPr="00403583">
        <w:rPr>
          <w:rFonts w:eastAsia="Calibri"/>
        </w:rPr>
        <w:t>(Resnik, 2022)</w:t>
      </w:r>
      <w:r w:rsidR="001C0806" w:rsidRPr="001C0806">
        <w:rPr>
          <w:rFonts w:eastAsia="Calibri"/>
        </w:rPr>
        <w:t xml:space="preserve">. </w:t>
      </w:r>
    </w:p>
    <w:p w14:paraId="6348698B" w14:textId="4F4D5D13" w:rsidR="001C0806" w:rsidRPr="001C0806" w:rsidRDefault="00E90FDB" w:rsidP="00EF08C1">
      <w:pPr>
        <w:spacing w:line="480" w:lineRule="auto"/>
        <w:ind w:firstLine="720"/>
        <w:jc w:val="both"/>
        <w:rPr>
          <w:rFonts w:eastAsia="Calibri"/>
        </w:rPr>
      </w:pPr>
      <w:r>
        <w:rPr>
          <w:rFonts w:eastAsia="Calibri"/>
        </w:rPr>
        <w:t xml:space="preserve">It tends to </w:t>
      </w:r>
      <w:proofErr w:type="spellStart"/>
      <w:r>
        <w:rPr>
          <w:rFonts w:eastAsia="Calibri"/>
        </w:rPr>
        <w:t>analysed</w:t>
      </w:r>
      <w:proofErr w:type="spellEnd"/>
      <w:r>
        <w:rPr>
          <w:rFonts w:eastAsia="Calibri"/>
        </w:rPr>
        <w:t xml:space="preserve"> from the recent research that the </w:t>
      </w:r>
      <w:r w:rsidR="001C0806" w:rsidRPr="001C0806">
        <w:rPr>
          <w:rFonts w:eastAsia="Calibri"/>
        </w:rPr>
        <w:t xml:space="preserve">company has implemented programs to support minority-owned businesses. </w:t>
      </w:r>
      <w:r>
        <w:rPr>
          <w:rFonts w:eastAsia="Calibri"/>
        </w:rPr>
        <w:t xml:space="preserve">According to the </w:t>
      </w:r>
      <w:r w:rsidR="001C0806" w:rsidRPr="001C0806">
        <w:rPr>
          <w:rFonts w:eastAsia="Calibri"/>
        </w:rPr>
        <w:t>Office Depot's Supply Chain Diversity team published a catalog exclusively featuring Historically Underutilized Businesses, a pioneering effort in the retail industry</w:t>
      </w:r>
      <w:r>
        <w:rPr>
          <w:rFonts w:eastAsia="Calibri"/>
        </w:rPr>
        <w:t xml:space="preserve"> and t</w:t>
      </w:r>
      <w:r w:rsidR="001C0806" w:rsidRPr="001C0806">
        <w:rPr>
          <w:rFonts w:eastAsia="Calibri"/>
        </w:rPr>
        <w:t>his initiative underscores the company's commitment to economic equity by providing opportunities for diverse suppliers</w:t>
      </w:r>
      <w:r w:rsidR="00403583">
        <w:rPr>
          <w:rFonts w:eastAsia="Calibri"/>
        </w:rPr>
        <w:t xml:space="preserve"> </w:t>
      </w:r>
      <w:r w:rsidR="00403583" w:rsidRPr="00403583">
        <w:rPr>
          <w:rFonts w:eastAsia="Calibri"/>
        </w:rPr>
        <w:t xml:space="preserve">(Sarfraz, </w:t>
      </w:r>
      <w:proofErr w:type="spellStart"/>
      <w:r w:rsidR="00403583" w:rsidRPr="00403583">
        <w:rPr>
          <w:rFonts w:eastAsia="Calibri"/>
        </w:rPr>
        <w:t>Ivascu</w:t>
      </w:r>
      <w:proofErr w:type="spellEnd"/>
      <w:r w:rsidR="00403583" w:rsidRPr="00403583">
        <w:rPr>
          <w:rFonts w:eastAsia="Calibri"/>
        </w:rPr>
        <w:t xml:space="preserve">, </w:t>
      </w:r>
      <w:proofErr w:type="spellStart"/>
      <w:r w:rsidR="00403583" w:rsidRPr="00403583">
        <w:rPr>
          <w:rFonts w:eastAsia="Calibri"/>
        </w:rPr>
        <w:t>Belu</w:t>
      </w:r>
      <w:proofErr w:type="spellEnd"/>
      <w:r w:rsidR="00403583" w:rsidRPr="00403583">
        <w:rPr>
          <w:rFonts w:eastAsia="Calibri"/>
        </w:rPr>
        <w:t xml:space="preserve">, &amp; </w:t>
      </w:r>
      <w:proofErr w:type="spellStart"/>
      <w:r w:rsidR="00403583" w:rsidRPr="00403583">
        <w:rPr>
          <w:rFonts w:eastAsia="Calibri"/>
        </w:rPr>
        <w:t>Artene</w:t>
      </w:r>
      <w:proofErr w:type="spellEnd"/>
      <w:r w:rsidR="00403583" w:rsidRPr="00403583">
        <w:rPr>
          <w:rFonts w:eastAsia="Calibri"/>
        </w:rPr>
        <w:t>, 2021)</w:t>
      </w:r>
      <w:r w:rsidR="001C0806" w:rsidRPr="001C0806">
        <w:rPr>
          <w:rFonts w:eastAsia="Calibri"/>
        </w:rPr>
        <w:t xml:space="preserve">. </w:t>
      </w:r>
    </w:p>
    <w:p w14:paraId="390D3EF2" w14:textId="5313C1CD" w:rsidR="001C0806" w:rsidRPr="001C0806" w:rsidRDefault="00E90FDB" w:rsidP="00EF08C1">
      <w:pPr>
        <w:spacing w:line="480" w:lineRule="auto"/>
        <w:ind w:firstLine="720"/>
        <w:jc w:val="both"/>
        <w:rPr>
          <w:rFonts w:eastAsia="Calibri"/>
        </w:rPr>
      </w:pPr>
      <w:r>
        <w:rPr>
          <w:rFonts w:eastAsia="Calibri"/>
        </w:rPr>
        <w:t xml:space="preserve">As per the studies, the </w:t>
      </w:r>
      <w:r w:rsidR="001C0806" w:rsidRPr="001C0806">
        <w:rPr>
          <w:rFonts w:eastAsia="Calibri"/>
        </w:rPr>
        <w:t xml:space="preserve">Office Depot Foundation, the company has engaged in various philanthropic activities aimed at supporting underprivileged communities. </w:t>
      </w:r>
      <w:r>
        <w:rPr>
          <w:rFonts w:eastAsia="Calibri"/>
        </w:rPr>
        <w:t xml:space="preserve">However, one of the major examples tends to contain </w:t>
      </w:r>
      <w:r w:rsidR="001C0806" w:rsidRPr="001C0806">
        <w:rPr>
          <w:rFonts w:eastAsia="Calibri"/>
        </w:rPr>
        <w:t>the foundation has donated to organizations like Doctors Without Borders and Feed the Children, providing medical supplies and food aid</w:t>
      </w:r>
      <w:r>
        <w:rPr>
          <w:rFonts w:eastAsia="Calibri"/>
        </w:rPr>
        <w:t>. However, on the basis of that the</w:t>
      </w:r>
      <w:r w:rsidR="001C0806" w:rsidRPr="001C0806">
        <w:rPr>
          <w:rFonts w:eastAsia="Calibri"/>
        </w:rPr>
        <w:t xml:space="preserve"> contributions demonstrate Office Depot's efforts to address economic disparities and support vulnerable populations</w:t>
      </w:r>
      <w:r w:rsidR="00403583">
        <w:rPr>
          <w:rFonts w:eastAsia="Calibri"/>
        </w:rPr>
        <w:t xml:space="preserve"> </w:t>
      </w:r>
      <w:r w:rsidR="00403583" w:rsidRPr="00403583">
        <w:rPr>
          <w:rFonts w:eastAsia="Calibri"/>
        </w:rPr>
        <w:t xml:space="preserve">(Sarfraz, </w:t>
      </w:r>
      <w:proofErr w:type="spellStart"/>
      <w:r w:rsidR="00403583" w:rsidRPr="00403583">
        <w:rPr>
          <w:rFonts w:eastAsia="Calibri"/>
        </w:rPr>
        <w:t>Ivascu</w:t>
      </w:r>
      <w:proofErr w:type="spellEnd"/>
      <w:r w:rsidR="00403583" w:rsidRPr="00403583">
        <w:rPr>
          <w:rFonts w:eastAsia="Calibri"/>
        </w:rPr>
        <w:t xml:space="preserve">, </w:t>
      </w:r>
      <w:proofErr w:type="spellStart"/>
      <w:r w:rsidR="00403583" w:rsidRPr="00403583">
        <w:rPr>
          <w:rFonts w:eastAsia="Calibri"/>
        </w:rPr>
        <w:t>Belu</w:t>
      </w:r>
      <w:proofErr w:type="spellEnd"/>
      <w:r w:rsidR="00403583" w:rsidRPr="00403583">
        <w:rPr>
          <w:rFonts w:eastAsia="Calibri"/>
        </w:rPr>
        <w:t xml:space="preserve">, &amp; </w:t>
      </w:r>
      <w:proofErr w:type="spellStart"/>
      <w:r w:rsidR="00403583" w:rsidRPr="00403583">
        <w:rPr>
          <w:rFonts w:eastAsia="Calibri"/>
        </w:rPr>
        <w:t>Artene</w:t>
      </w:r>
      <w:proofErr w:type="spellEnd"/>
      <w:r w:rsidR="00403583" w:rsidRPr="00403583">
        <w:rPr>
          <w:rFonts w:eastAsia="Calibri"/>
        </w:rPr>
        <w:t>, 2021)</w:t>
      </w:r>
      <w:r w:rsidR="001C0806" w:rsidRPr="001C0806">
        <w:rPr>
          <w:rFonts w:eastAsia="Calibri"/>
        </w:rPr>
        <w:t xml:space="preserve">. </w:t>
      </w:r>
    </w:p>
    <w:p w14:paraId="1A137972" w14:textId="732DC1B5" w:rsidR="001C0806" w:rsidRPr="001C0806" w:rsidRDefault="00E90FDB" w:rsidP="00EF08C1">
      <w:pPr>
        <w:spacing w:line="480" w:lineRule="auto"/>
        <w:ind w:firstLine="720"/>
        <w:jc w:val="both"/>
        <w:rPr>
          <w:rFonts w:eastAsia="Calibri"/>
        </w:rPr>
      </w:pPr>
      <w:r>
        <w:rPr>
          <w:rFonts w:eastAsia="Calibri"/>
        </w:rPr>
        <w:t xml:space="preserve">Based on the </w:t>
      </w:r>
      <w:r w:rsidR="001C0806" w:rsidRPr="001C0806">
        <w:rPr>
          <w:rFonts w:eastAsia="Calibri"/>
        </w:rPr>
        <w:t xml:space="preserve">Office Depot </w:t>
      </w:r>
      <w:r w:rsidRPr="001C0806">
        <w:rPr>
          <w:rFonts w:eastAsia="Calibri"/>
        </w:rPr>
        <w:t>also focused</w:t>
      </w:r>
      <w:r w:rsidR="001C0806" w:rsidRPr="001C0806">
        <w:rPr>
          <w:rFonts w:eastAsia="Calibri"/>
        </w:rPr>
        <w:t xml:space="preserve"> on environmental initiatives, recognizing the intersection between environmental and economic justice. </w:t>
      </w:r>
      <w:r>
        <w:rPr>
          <w:rFonts w:eastAsia="Calibri"/>
        </w:rPr>
        <w:t xml:space="preserve">It is evident from the research that the </w:t>
      </w:r>
      <w:r w:rsidR="001C0806" w:rsidRPr="001C0806">
        <w:rPr>
          <w:rFonts w:eastAsia="Calibri"/>
        </w:rPr>
        <w:t xml:space="preserve">company has built LEED Gold-certified facilities and offers a range of eco-friendly products through its </w:t>
      </w:r>
      <w:proofErr w:type="spellStart"/>
      <w:r w:rsidR="001C0806" w:rsidRPr="001C0806">
        <w:rPr>
          <w:rFonts w:eastAsia="Calibri"/>
        </w:rPr>
        <w:t>GreenerOffice</w:t>
      </w:r>
      <w:proofErr w:type="spellEnd"/>
      <w:r w:rsidR="001C0806" w:rsidRPr="001C0806">
        <w:rPr>
          <w:rFonts w:eastAsia="Calibri"/>
        </w:rPr>
        <w:t xml:space="preserve"> </w:t>
      </w:r>
      <w:r w:rsidRPr="001C0806">
        <w:rPr>
          <w:rFonts w:eastAsia="Calibri"/>
        </w:rPr>
        <w:t>program,</w:t>
      </w:r>
      <w:r>
        <w:rPr>
          <w:rFonts w:eastAsia="Calibri"/>
        </w:rPr>
        <w:t xml:space="preserve"> and t</w:t>
      </w:r>
      <w:r w:rsidR="001C0806" w:rsidRPr="001C0806">
        <w:rPr>
          <w:rFonts w:eastAsia="Calibri"/>
        </w:rPr>
        <w:t xml:space="preserve">hese actions contribute to sustainable development and reflect a broader commitment to social responsibility. </w:t>
      </w:r>
    </w:p>
    <w:p w14:paraId="5ED70EA2" w14:textId="29A0D741" w:rsidR="001C0806" w:rsidRPr="00FD39FA" w:rsidRDefault="001C0806" w:rsidP="00EF08C1">
      <w:pPr>
        <w:spacing w:line="480" w:lineRule="auto"/>
        <w:ind w:firstLine="720"/>
        <w:jc w:val="both"/>
        <w:rPr>
          <w:rFonts w:eastAsia="Calibri"/>
        </w:rPr>
      </w:pPr>
      <w:r w:rsidRPr="001C0806">
        <w:rPr>
          <w:rFonts w:eastAsia="Calibri"/>
        </w:rPr>
        <w:t xml:space="preserve">In </w:t>
      </w:r>
      <w:r w:rsidR="00E90FDB">
        <w:rPr>
          <w:rFonts w:eastAsia="Calibri"/>
        </w:rPr>
        <w:t xml:space="preserve">accordance with the </w:t>
      </w:r>
      <w:r w:rsidRPr="001C0806">
        <w:rPr>
          <w:rFonts w:eastAsia="Calibri"/>
        </w:rPr>
        <w:t xml:space="preserve">Guatemala, Office Depot operates through OD Guatemala y </w:t>
      </w:r>
      <w:proofErr w:type="spellStart"/>
      <w:r w:rsidRPr="001C0806">
        <w:rPr>
          <w:rFonts w:eastAsia="Calibri"/>
        </w:rPr>
        <w:t>Cía</w:t>
      </w:r>
      <w:proofErr w:type="spellEnd"/>
      <w:r w:rsidRPr="001C0806">
        <w:rPr>
          <w:rFonts w:eastAsia="Calibri"/>
        </w:rPr>
        <w:t xml:space="preserve">. LTDA, a subsidiary that manages retail stores specializing in office supplies. </w:t>
      </w:r>
      <w:r w:rsidR="00E90FDB">
        <w:rPr>
          <w:rFonts w:eastAsia="Calibri"/>
        </w:rPr>
        <w:t xml:space="preserve">Despite the various challenges, </w:t>
      </w:r>
      <w:r w:rsidRPr="001C0806">
        <w:rPr>
          <w:rFonts w:eastAsia="Calibri"/>
        </w:rPr>
        <w:t xml:space="preserve">specific data on the company's economic justice initiatives in Guatemala is limited, the presence of this subsidiary indicates Office Depot's engagement in the local economy. </w:t>
      </w:r>
      <w:r w:rsidR="00E90FDB">
        <w:rPr>
          <w:rFonts w:eastAsia="Calibri"/>
        </w:rPr>
        <w:t xml:space="preserve">So, it </w:t>
      </w:r>
      <w:r w:rsidR="00E90FDB">
        <w:rPr>
          <w:rFonts w:eastAsia="Calibri"/>
        </w:rPr>
        <w:lastRenderedPageBreak/>
        <w:t>is important to understand that f</w:t>
      </w:r>
      <w:r w:rsidRPr="001C0806">
        <w:rPr>
          <w:rFonts w:eastAsia="Calibri"/>
        </w:rPr>
        <w:t xml:space="preserve">urther research into the subsidiary's practices would provide a more comprehensive understanding of its impact on economic equity in the region. </w:t>
      </w:r>
    </w:p>
    <w:bookmarkEnd w:id="0"/>
    <w:p w14:paraId="21A0CFE6" w14:textId="07437643" w:rsidR="00736A12" w:rsidRDefault="00736A12" w:rsidP="00736A12">
      <w:pPr>
        <w:spacing w:line="480" w:lineRule="auto"/>
        <w:jc w:val="center"/>
        <w:rPr>
          <w:rFonts w:eastAsia="Calibri"/>
          <w:b/>
          <w:bCs/>
        </w:rPr>
      </w:pPr>
      <w:r>
        <w:rPr>
          <w:rFonts w:eastAsia="Calibri"/>
          <w:b/>
          <w:bCs/>
        </w:rPr>
        <w:t>Future Plans</w:t>
      </w:r>
    </w:p>
    <w:p w14:paraId="0A9A76A1" w14:textId="47B3D6DB" w:rsidR="00FD39FA" w:rsidRPr="00E90FDB" w:rsidRDefault="001C0806" w:rsidP="00EF08C1">
      <w:pPr>
        <w:spacing w:line="480" w:lineRule="auto"/>
        <w:jc w:val="both"/>
        <w:rPr>
          <w:rFonts w:eastAsia="Calibri"/>
        </w:rPr>
      </w:pPr>
      <w:r w:rsidRPr="00E90FDB">
        <w:rPr>
          <w:rFonts w:eastAsia="Calibri"/>
        </w:rPr>
        <w:tab/>
      </w:r>
      <w:r w:rsidR="00E90FDB" w:rsidRPr="00E90FDB">
        <w:rPr>
          <w:rFonts w:eastAsia="Calibri"/>
        </w:rPr>
        <w:t xml:space="preserve">Based on the </w:t>
      </w:r>
      <w:r w:rsidR="00FD39FA" w:rsidRPr="00E90FDB">
        <w:rPr>
          <w:rFonts w:eastAsia="Calibri"/>
        </w:rPr>
        <w:t>Office Depot Inc., operating under The ODP Corporation, has recently undertaken initiatives aimed at promoting economic equity, particularly through programs that support entrepreneurship and community development</w:t>
      </w:r>
      <w:r w:rsidR="00403583">
        <w:rPr>
          <w:rFonts w:eastAsia="Calibri"/>
        </w:rPr>
        <w:t xml:space="preserve"> </w:t>
      </w:r>
      <w:r w:rsidR="00403583" w:rsidRPr="00403583">
        <w:rPr>
          <w:rFonts w:eastAsia="Calibri"/>
        </w:rPr>
        <w:t xml:space="preserve">(Sarfraz, </w:t>
      </w:r>
      <w:proofErr w:type="spellStart"/>
      <w:r w:rsidR="00403583" w:rsidRPr="00403583">
        <w:rPr>
          <w:rFonts w:eastAsia="Calibri"/>
        </w:rPr>
        <w:t>Ivascu</w:t>
      </w:r>
      <w:proofErr w:type="spellEnd"/>
      <w:r w:rsidR="00403583" w:rsidRPr="00403583">
        <w:rPr>
          <w:rFonts w:eastAsia="Calibri"/>
        </w:rPr>
        <w:t xml:space="preserve">, </w:t>
      </w:r>
      <w:proofErr w:type="spellStart"/>
      <w:r w:rsidR="00403583" w:rsidRPr="00403583">
        <w:rPr>
          <w:rFonts w:eastAsia="Calibri"/>
        </w:rPr>
        <w:t>Belu</w:t>
      </w:r>
      <w:proofErr w:type="spellEnd"/>
      <w:r w:rsidR="00403583" w:rsidRPr="00403583">
        <w:rPr>
          <w:rFonts w:eastAsia="Calibri"/>
        </w:rPr>
        <w:t xml:space="preserve">, &amp; </w:t>
      </w:r>
      <w:proofErr w:type="spellStart"/>
      <w:r w:rsidR="00403583" w:rsidRPr="00403583">
        <w:rPr>
          <w:rFonts w:eastAsia="Calibri"/>
        </w:rPr>
        <w:t>Artene</w:t>
      </w:r>
      <w:proofErr w:type="spellEnd"/>
      <w:r w:rsidR="00403583" w:rsidRPr="00403583">
        <w:rPr>
          <w:rFonts w:eastAsia="Calibri"/>
        </w:rPr>
        <w:t>, 2021)</w:t>
      </w:r>
      <w:r w:rsidR="00FD39FA" w:rsidRPr="00E90FDB">
        <w:rPr>
          <w:rFonts w:eastAsia="Calibri"/>
        </w:rPr>
        <w:t>.</w:t>
      </w:r>
    </w:p>
    <w:p w14:paraId="62C5B2F0" w14:textId="062B5EA0" w:rsidR="00FD39FA" w:rsidRPr="00FD39FA" w:rsidRDefault="00E90FDB" w:rsidP="00EF08C1">
      <w:pPr>
        <w:spacing w:line="480" w:lineRule="auto"/>
        <w:ind w:firstLine="720"/>
        <w:jc w:val="both"/>
        <w:rPr>
          <w:rFonts w:eastAsia="Calibri"/>
        </w:rPr>
      </w:pPr>
      <w:r>
        <w:rPr>
          <w:rFonts w:eastAsia="Calibri"/>
        </w:rPr>
        <w:t xml:space="preserve">However, one of the most significant </w:t>
      </w:r>
      <w:r w:rsidRPr="00FD39FA">
        <w:rPr>
          <w:rFonts w:eastAsia="Calibri"/>
        </w:rPr>
        <w:t>initiatives</w:t>
      </w:r>
      <w:r w:rsidR="00FD39FA" w:rsidRPr="00FD39FA">
        <w:rPr>
          <w:rFonts w:eastAsia="Calibri"/>
        </w:rPr>
        <w:t xml:space="preserve"> is the "</w:t>
      </w:r>
      <w:proofErr w:type="spellStart"/>
      <w:r w:rsidR="00FD39FA" w:rsidRPr="00FD39FA">
        <w:rPr>
          <w:rFonts w:eastAsia="Calibri"/>
        </w:rPr>
        <w:t>Selfmade</w:t>
      </w:r>
      <w:proofErr w:type="spellEnd"/>
      <w:r w:rsidR="00FD39FA" w:rsidRPr="00FD39FA">
        <w:rPr>
          <w:rFonts w:eastAsia="Calibri"/>
        </w:rPr>
        <w:t>" program, a collaborative effort between Office Depot and Brit + Co</w:t>
      </w:r>
      <w:r>
        <w:rPr>
          <w:rFonts w:eastAsia="Calibri"/>
        </w:rPr>
        <w:t xml:space="preserve"> and t</w:t>
      </w:r>
      <w:r w:rsidR="00FD39FA" w:rsidRPr="00FD39FA">
        <w:rPr>
          <w:rFonts w:eastAsia="Calibri"/>
        </w:rPr>
        <w:t xml:space="preserve">his program is designed to empower women entrepreneurs by providing them with the tools, resources, and mentorship needed to start or grow their businesses. </w:t>
      </w:r>
      <w:r>
        <w:rPr>
          <w:rFonts w:eastAsia="Calibri"/>
        </w:rPr>
        <w:t xml:space="preserve">However, it also important to indicate that </w:t>
      </w:r>
      <w:r w:rsidR="00FD39FA" w:rsidRPr="00FD39FA">
        <w:rPr>
          <w:rFonts w:eastAsia="Calibri"/>
        </w:rPr>
        <w:t>highly interactive virtual community and membership program, participants gain access to business education and networking opportunities</w:t>
      </w:r>
      <w:r>
        <w:rPr>
          <w:rFonts w:eastAsia="Calibri"/>
        </w:rPr>
        <w:t xml:space="preserve"> such as b</w:t>
      </w:r>
      <w:r w:rsidR="00FD39FA" w:rsidRPr="00FD39FA">
        <w:rPr>
          <w:rFonts w:eastAsia="Calibri"/>
        </w:rPr>
        <w:t xml:space="preserve">y fostering female entrepreneurship, Office Depot contributes to economic equity by enabling women to achieve financial independence and success in the business world. </w:t>
      </w:r>
    </w:p>
    <w:p w14:paraId="556E80B8" w14:textId="0BAA18D5" w:rsidR="00FD39FA" w:rsidRPr="00FD39FA" w:rsidRDefault="00FD39FA" w:rsidP="00EF08C1">
      <w:pPr>
        <w:spacing w:line="480" w:lineRule="auto"/>
        <w:ind w:firstLine="720"/>
        <w:jc w:val="both"/>
        <w:rPr>
          <w:rFonts w:eastAsia="Calibri"/>
        </w:rPr>
      </w:pPr>
      <w:r w:rsidRPr="00FD39FA">
        <w:rPr>
          <w:rFonts w:eastAsia="Calibri"/>
        </w:rPr>
        <w:t xml:space="preserve">In </w:t>
      </w:r>
      <w:r w:rsidR="00E90FDB">
        <w:rPr>
          <w:rFonts w:eastAsia="Calibri"/>
        </w:rPr>
        <w:t xml:space="preserve">accordance with the </w:t>
      </w:r>
      <w:r w:rsidRPr="00FD39FA">
        <w:rPr>
          <w:rFonts w:eastAsia="Calibri"/>
        </w:rPr>
        <w:t xml:space="preserve">supporting entrepreneurship, Office Depot has focused on enhancing customer experience through store redesigns. </w:t>
      </w:r>
      <w:r w:rsidR="00E90FDB">
        <w:rPr>
          <w:rFonts w:eastAsia="Calibri"/>
        </w:rPr>
        <w:t xml:space="preserve">It is </w:t>
      </w:r>
      <w:proofErr w:type="spellStart"/>
      <w:r w:rsidR="00E90FDB">
        <w:rPr>
          <w:rFonts w:eastAsia="Calibri"/>
        </w:rPr>
        <w:t>analysed</w:t>
      </w:r>
      <w:proofErr w:type="spellEnd"/>
      <w:r w:rsidR="00E90FDB">
        <w:rPr>
          <w:rFonts w:eastAsia="Calibri"/>
        </w:rPr>
        <w:t xml:space="preserve"> from the recent research that the </w:t>
      </w:r>
      <w:r w:rsidRPr="00FD39FA">
        <w:rPr>
          <w:rFonts w:eastAsia="Calibri"/>
        </w:rPr>
        <w:t xml:space="preserve">company launched a pilot store re-design program, initially referred to as “Millennium,” aimed at improving store layouts, signage, and lighting to enhance the overall shopping experience. </w:t>
      </w:r>
      <w:r w:rsidR="00E90FDB">
        <w:rPr>
          <w:rFonts w:eastAsia="Calibri"/>
        </w:rPr>
        <w:t>On the basis of t</w:t>
      </w:r>
      <w:r w:rsidRPr="00FD39FA">
        <w:rPr>
          <w:rFonts w:eastAsia="Calibri"/>
        </w:rPr>
        <w:t xml:space="preserve">his initiative </w:t>
      </w:r>
      <w:r w:rsidR="00E90FDB">
        <w:rPr>
          <w:rFonts w:eastAsia="Calibri"/>
        </w:rPr>
        <w:t xml:space="preserve">which </w:t>
      </w:r>
      <w:r w:rsidRPr="00FD39FA">
        <w:rPr>
          <w:rFonts w:eastAsia="Calibri"/>
        </w:rPr>
        <w:t xml:space="preserve">was later modified to create an enhanced “M2” version, which became the standard retail store configuration for new and remodeled stores. </w:t>
      </w:r>
      <w:r w:rsidR="00E90FDB">
        <w:rPr>
          <w:rFonts w:eastAsia="Calibri"/>
        </w:rPr>
        <w:t xml:space="preserve">One of the majors </w:t>
      </w:r>
      <w:r w:rsidRPr="00FD39FA">
        <w:rPr>
          <w:rFonts w:eastAsia="Calibri"/>
        </w:rPr>
        <w:t xml:space="preserve">aimed at improving customer satisfaction, such investments can also have positive economic impacts by attracting more customers and potentially increasing employment opportunities within the stores. </w:t>
      </w:r>
    </w:p>
    <w:p w14:paraId="164533ED" w14:textId="6142E98A" w:rsidR="001C0806" w:rsidRPr="00FD39FA" w:rsidRDefault="00E90FDB" w:rsidP="00EF08C1">
      <w:pPr>
        <w:spacing w:line="480" w:lineRule="auto"/>
        <w:ind w:firstLine="720"/>
        <w:jc w:val="both"/>
        <w:rPr>
          <w:rFonts w:eastAsia="Calibri"/>
        </w:rPr>
      </w:pPr>
      <w:r>
        <w:rPr>
          <w:rFonts w:eastAsia="Calibri"/>
        </w:rPr>
        <w:lastRenderedPageBreak/>
        <w:t xml:space="preserve">According to the </w:t>
      </w:r>
      <w:r w:rsidR="00FD39FA" w:rsidRPr="00FD39FA">
        <w:rPr>
          <w:rFonts w:eastAsia="Calibri"/>
        </w:rPr>
        <w:t>specific data on Office Depot's investments in Guatemala is limited, the company's broader initiatives reflect a commitment to promoting economic equity through entrepreneurship support and community-focused investments</w:t>
      </w:r>
      <w:r w:rsidR="00403583">
        <w:rPr>
          <w:rFonts w:eastAsia="Calibri"/>
        </w:rPr>
        <w:t xml:space="preserve"> </w:t>
      </w:r>
      <w:r w:rsidR="00403583" w:rsidRPr="00403583">
        <w:rPr>
          <w:rFonts w:eastAsia="Calibri"/>
        </w:rPr>
        <w:t xml:space="preserve">(Sarfraz, </w:t>
      </w:r>
      <w:proofErr w:type="spellStart"/>
      <w:r w:rsidR="00403583" w:rsidRPr="00403583">
        <w:rPr>
          <w:rFonts w:eastAsia="Calibri"/>
        </w:rPr>
        <w:t>Ivascu</w:t>
      </w:r>
      <w:proofErr w:type="spellEnd"/>
      <w:r w:rsidR="00403583" w:rsidRPr="00403583">
        <w:rPr>
          <w:rFonts w:eastAsia="Calibri"/>
        </w:rPr>
        <w:t xml:space="preserve">, </w:t>
      </w:r>
      <w:proofErr w:type="spellStart"/>
      <w:r w:rsidR="00403583" w:rsidRPr="00403583">
        <w:rPr>
          <w:rFonts w:eastAsia="Calibri"/>
        </w:rPr>
        <w:t>Belu</w:t>
      </w:r>
      <w:proofErr w:type="spellEnd"/>
      <w:r w:rsidR="00403583" w:rsidRPr="00403583">
        <w:rPr>
          <w:rFonts w:eastAsia="Calibri"/>
        </w:rPr>
        <w:t xml:space="preserve">, &amp; </w:t>
      </w:r>
      <w:proofErr w:type="spellStart"/>
      <w:r w:rsidR="00403583" w:rsidRPr="00403583">
        <w:rPr>
          <w:rFonts w:eastAsia="Calibri"/>
        </w:rPr>
        <w:t>Artene</w:t>
      </w:r>
      <w:proofErr w:type="spellEnd"/>
      <w:r w:rsidR="00403583" w:rsidRPr="00403583">
        <w:rPr>
          <w:rFonts w:eastAsia="Calibri"/>
        </w:rPr>
        <w:t>, 2021)</w:t>
      </w:r>
      <w:r w:rsidR="00FD39FA" w:rsidRPr="00FD39FA">
        <w:rPr>
          <w:rFonts w:eastAsia="Calibri"/>
        </w:rPr>
        <w:t xml:space="preserve">. </w:t>
      </w:r>
      <w:r>
        <w:rPr>
          <w:rFonts w:eastAsia="Calibri"/>
        </w:rPr>
        <w:t>Based on t</w:t>
      </w:r>
      <w:r w:rsidR="00FD39FA" w:rsidRPr="00FD39FA">
        <w:rPr>
          <w:rFonts w:eastAsia="Calibri"/>
        </w:rPr>
        <w:t>hese efforts</w:t>
      </w:r>
      <w:r>
        <w:rPr>
          <w:rFonts w:eastAsia="Calibri"/>
        </w:rPr>
        <w:t xml:space="preserve"> which tend to</w:t>
      </w:r>
      <w:r w:rsidR="00FD39FA" w:rsidRPr="00FD39FA">
        <w:rPr>
          <w:rFonts w:eastAsia="Calibri"/>
        </w:rPr>
        <w:t xml:space="preserve"> align with the company's overarching goal of fostering inclusive economic growth and addressing disparities within the communities it serves.</w:t>
      </w:r>
    </w:p>
    <w:p w14:paraId="67EEABE6" w14:textId="4CACE969" w:rsidR="00736A12" w:rsidRDefault="00736A12" w:rsidP="00736A12">
      <w:pPr>
        <w:spacing w:line="480" w:lineRule="auto"/>
        <w:jc w:val="center"/>
        <w:rPr>
          <w:rFonts w:eastAsia="Calibri"/>
          <w:b/>
          <w:bCs/>
        </w:rPr>
      </w:pPr>
      <w:r>
        <w:rPr>
          <w:rFonts w:eastAsia="Calibri"/>
          <w:b/>
          <w:bCs/>
        </w:rPr>
        <w:t>Company Evaluation</w:t>
      </w:r>
    </w:p>
    <w:p w14:paraId="7C734109" w14:textId="3AE5BAD0" w:rsidR="00FD39FA" w:rsidRPr="00E90FDB" w:rsidRDefault="00FD39FA" w:rsidP="00EF08C1">
      <w:pPr>
        <w:spacing w:line="480" w:lineRule="auto"/>
        <w:jc w:val="both"/>
        <w:rPr>
          <w:rFonts w:eastAsia="Calibri"/>
        </w:rPr>
      </w:pPr>
      <w:r w:rsidRPr="00E90FDB">
        <w:rPr>
          <w:rFonts w:eastAsia="Calibri"/>
        </w:rPr>
        <w:tab/>
      </w:r>
      <w:r w:rsidR="00E90FDB" w:rsidRPr="00E90FDB">
        <w:rPr>
          <w:rFonts w:eastAsia="Calibri"/>
        </w:rPr>
        <w:t xml:space="preserve">The studies also tend to comprise of regarding the </w:t>
      </w:r>
      <w:r w:rsidRPr="00E90FDB">
        <w:rPr>
          <w:rFonts w:eastAsia="Calibri"/>
        </w:rPr>
        <w:t xml:space="preserve">Office Depot Inc., operating under The ODP Corporation, has demonstrated a sustained commitment to economic justice through various initiatives, including diversity and inclusion efforts, supplier diversity programs, and community engagement. </w:t>
      </w:r>
      <w:r w:rsidR="00E90FDB">
        <w:rPr>
          <w:rFonts w:eastAsia="Calibri"/>
        </w:rPr>
        <w:t>Based on t</w:t>
      </w:r>
      <w:r w:rsidRPr="00E90FDB">
        <w:rPr>
          <w:rFonts w:eastAsia="Calibri"/>
        </w:rPr>
        <w:t xml:space="preserve">hese actions </w:t>
      </w:r>
      <w:r w:rsidR="00E90FDB">
        <w:rPr>
          <w:rFonts w:eastAsia="Calibri"/>
        </w:rPr>
        <w:t xml:space="preserve">which ultimately </w:t>
      </w:r>
      <w:r w:rsidRPr="00E90FDB">
        <w:rPr>
          <w:rFonts w:eastAsia="Calibri"/>
        </w:rPr>
        <w:t>indicate a strong foundation for meaningful change.</w:t>
      </w:r>
    </w:p>
    <w:p w14:paraId="5E314441" w14:textId="2792BFF7" w:rsidR="00FD39FA" w:rsidRPr="00FD39FA" w:rsidRDefault="00E90FDB" w:rsidP="00EF08C1">
      <w:pPr>
        <w:spacing w:line="480" w:lineRule="auto"/>
        <w:ind w:firstLine="720"/>
        <w:jc w:val="both"/>
        <w:rPr>
          <w:rFonts w:eastAsia="Calibri"/>
        </w:rPr>
      </w:pPr>
      <w:r>
        <w:rPr>
          <w:rFonts w:eastAsia="Calibri"/>
        </w:rPr>
        <w:t xml:space="preserve">In accordance with the </w:t>
      </w:r>
      <w:r w:rsidR="00FD39FA" w:rsidRPr="00FD39FA">
        <w:rPr>
          <w:rFonts w:eastAsia="Calibri"/>
        </w:rPr>
        <w:t xml:space="preserve">company </w:t>
      </w:r>
      <w:r>
        <w:rPr>
          <w:rFonts w:eastAsia="Calibri"/>
        </w:rPr>
        <w:t xml:space="preserve">which </w:t>
      </w:r>
      <w:r w:rsidR="00FD39FA" w:rsidRPr="00FD39FA">
        <w:rPr>
          <w:rFonts w:eastAsia="Calibri"/>
        </w:rPr>
        <w:t xml:space="preserve">has consistently prioritized creating an inclusive work environment. </w:t>
      </w:r>
      <w:r>
        <w:rPr>
          <w:rFonts w:eastAsia="Calibri"/>
        </w:rPr>
        <w:t xml:space="preserve">Nevertheless, the study illustrates that the </w:t>
      </w:r>
      <w:r w:rsidR="00FD39FA" w:rsidRPr="00FD39FA">
        <w:rPr>
          <w:rFonts w:eastAsia="Calibri"/>
        </w:rPr>
        <w:t xml:space="preserve">ODP Corporation received a perfect score of 100 on the Human Rights Campaign Foundation's 2023–2024 Corporate Equality Index for the twelfth consecutive year, reflecting its dedication to LGBTQ+ workplace equality. </w:t>
      </w:r>
    </w:p>
    <w:p w14:paraId="5C9F72D0" w14:textId="582D04D6" w:rsidR="00FD39FA" w:rsidRPr="00FD39FA" w:rsidRDefault="00E90FDB" w:rsidP="00EF08C1">
      <w:pPr>
        <w:spacing w:line="480" w:lineRule="auto"/>
        <w:ind w:firstLine="720"/>
        <w:jc w:val="both"/>
        <w:rPr>
          <w:rFonts w:eastAsia="Calibri"/>
        </w:rPr>
      </w:pPr>
      <w:r>
        <w:rPr>
          <w:rFonts w:eastAsia="Calibri"/>
        </w:rPr>
        <w:t xml:space="preserve">Based on the </w:t>
      </w:r>
      <w:r w:rsidR="00FD39FA" w:rsidRPr="00FD39FA">
        <w:rPr>
          <w:rFonts w:eastAsia="Calibri"/>
        </w:rPr>
        <w:t xml:space="preserve">Office Depot </w:t>
      </w:r>
      <w:r>
        <w:rPr>
          <w:rFonts w:eastAsia="Calibri"/>
        </w:rPr>
        <w:t xml:space="preserve">which also </w:t>
      </w:r>
      <w:r w:rsidR="00FD39FA" w:rsidRPr="00FD39FA">
        <w:rPr>
          <w:rFonts w:eastAsia="Calibri"/>
        </w:rPr>
        <w:t xml:space="preserve">has actively supported minority- and women-owned businesses through its Supplier Diversity Program. </w:t>
      </w:r>
      <w:r>
        <w:rPr>
          <w:rFonts w:eastAsia="Calibri"/>
        </w:rPr>
        <w:t xml:space="preserve">In accordance with </w:t>
      </w:r>
      <w:r w:rsidR="00403583" w:rsidRPr="00FD39FA">
        <w:rPr>
          <w:rFonts w:eastAsia="Calibri"/>
        </w:rPr>
        <w:t>a program</w:t>
      </w:r>
      <w:r w:rsidR="00FD39FA" w:rsidRPr="00FD39FA">
        <w:rPr>
          <w:rFonts w:eastAsia="Calibri"/>
        </w:rPr>
        <w:t xml:space="preserve"> </w:t>
      </w:r>
      <w:r>
        <w:rPr>
          <w:rFonts w:eastAsia="Calibri"/>
        </w:rPr>
        <w:t xml:space="preserve">which ultimately </w:t>
      </w:r>
      <w:r w:rsidR="00FD39FA" w:rsidRPr="00FD39FA">
        <w:rPr>
          <w:rFonts w:eastAsia="Calibri"/>
        </w:rPr>
        <w:t>aims to expand opportunities for diverse suppliers, enhancing economic equity within the supply chain.</w:t>
      </w:r>
    </w:p>
    <w:p w14:paraId="012154DF" w14:textId="0B4729B1" w:rsidR="00FD39FA" w:rsidRPr="00FD39FA" w:rsidRDefault="00E90FDB" w:rsidP="00EF08C1">
      <w:pPr>
        <w:spacing w:line="480" w:lineRule="auto"/>
        <w:ind w:firstLine="720"/>
        <w:jc w:val="both"/>
        <w:rPr>
          <w:rFonts w:eastAsia="Calibri"/>
        </w:rPr>
      </w:pPr>
      <w:r>
        <w:rPr>
          <w:rFonts w:eastAsia="Calibri"/>
        </w:rPr>
        <w:t xml:space="preserve">According to the </w:t>
      </w:r>
      <w:r w:rsidR="00FD39FA" w:rsidRPr="00FD39FA">
        <w:rPr>
          <w:rFonts w:eastAsia="Calibri"/>
        </w:rPr>
        <w:t xml:space="preserve">company's community investment initiatives, such as </w:t>
      </w:r>
      <w:r w:rsidR="00403583" w:rsidRPr="00FD39FA">
        <w:rPr>
          <w:rFonts w:eastAsia="Calibri"/>
        </w:rPr>
        <w:t>Start</w:t>
      </w:r>
      <w:r w:rsidR="00FD39FA" w:rsidRPr="00FD39FA">
        <w:rPr>
          <w:rFonts w:eastAsia="Calibri"/>
        </w:rPr>
        <w:t xml:space="preserve"> </w:t>
      </w:r>
      <w:r w:rsidR="00403583" w:rsidRPr="00FD39FA">
        <w:rPr>
          <w:rFonts w:eastAsia="Calibri"/>
        </w:rPr>
        <w:t>Proud! ®</w:t>
      </w:r>
      <w:r w:rsidR="00FD39FA" w:rsidRPr="00FD39FA">
        <w:rPr>
          <w:rFonts w:eastAsia="Calibri"/>
        </w:rPr>
        <w:t xml:space="preserve"> program, provide essential supplies to students and teachers in underserved communities, fostering educational equity. </w:t>
      </w:r>
    </w:p>
    <w:p w14:paraId="7B66FF65" w14:textId="606E232B" w:rsidR="00FD39FA" w:rsidRPr="00FD39FA" w:rsidRDefault="00E90FDB" w:rsidP="00EF08C1">
      <w:pPr>
        <w:spacing w:line="480" w:lineRule="auto"/>
        <w:ind w:firstLine="720"/>
        <w:jc w:val="both"/>
        <w:rPr>
          <w:rFonts w:eastAsia="Calibri"/>
        </w:rPr>
      </w:pPr>
      <w:r>
        <w:rPr>
          <w:rFonts w:eastAsia="Calibri"/>
        </w:rPr>
        <w:lastRenderedPageBreak/>
        <w:t xml:space="preserve">It is important to mention that the </w:t>
      </w:r>
      <w:r w:rsidR="00FD39FA" w:rsidRPr="00FD39FA">
        <w:rPr>
          <w:rFonts w:eastAsia="Calibri"/>
        </w:rPr>
        <w:t xml:space="preserve">specific data on Office Depot's economic justice initiatives in Guatemala is limited, the company's global commitment to diversity and inclusion suggests potential for positive impact in its international operations. </w:t>
      </w:r>
      <w:r>
        <w:rPr>
          <w:rFonts w:eastAsia="Calibri"/>
        </w:rPr>
        <w:t xml:space="preserve">Despite the various challenges, </w:t>
      </w:r>
      <w:r w:rsidR="00FD39FA" w:rsidRPr="00FD39FA">
        <w:rPr>
          <w:rFonts w:eastAsia="Calibri"/>
        </w:rPr>
        <w:t>expansion into Central America, including Guatemala, through retail stores indicates a strategic move to serve diverse markets.</w:t>
      </w:r>
    </w:p>
    <w:p w14:paraId="262185B8" w14:textId="257024D0" w:rsidR="00FD39FA" w:rsidRPr="00FD39FA" w:rsidRDefault="00E90FDB" w:rsidP="00EF08C1">
      <w:pPr>
        <w:spacing w:line="480" w:lineRule="auto"/>
        <w:ind w:firstLine="720"/>
        <w:jc w:val="both"/>
        <w:rPr>
          <w:rFonts w:eastAsia="Calibri"/>
        </w:rPr>
      </w:pPr>
      <w:r>
        <w:rPr>
          <w:rFonts w:eastAsia="Calibri"/>
        </w:rPr>
        <w:t xml:space="preserve">Based on the </w:t>
      </w:r>
      <w:r w:rsidR="00FD39FA" w:rsidRPr="00FD39FA">
        <w:rPr>
          <w:rFonts w:eastAsia="Calibri"/>
        </w:rPr>
        <w:t xml:space="preserve">Office Depot's historical </w:t>
      </w:r>
      <w:r w:rsidR="00403583" w:rsidRPr="00FD39FA">
        <w:rPr>
          <w:rFonts w:eastAsia="Calibri"/>
        </w:rPr>
        <w:t>actions,</w:t>
      </w:r>
      <w:r w:rsidR="00FD39FA" w:rsidRPr="00FD39FA">
        <w:rPr>
          <w:rFonts w:eastAsia="Calibri"/>
        </w:rPr>
        <w:t xml:space="preserve"> </w:t>
      </w:r>
      <w:r>
        <w:rPr>
          <w:rFonts w:eastAsia="Calibri"/>
        </w:rPr>
        <w:t xml:space="preserve">which </w:t>
      </w:r>
      <w:r w:rsidR="00403583">
        <w:rPr>
          <w:rFonts w:eastAsia="Calibri"/>
        </w:rPr>
        <w:t>tend</w:t>
      </w:r>
      <w:r>
        <w:rPr>
          <w:rFonts w:eastAsia="Calibri"/>
        </w:rPr>
        <w:t xml:space="preserve"> to </w:t>
      </w:r>
      <w:r w:rsidR="00FD39FA" w:rsidRPr="00FD39FA">
        <w:rPr>
          <w:rFonts w:eastAsia="Calibri"/>
        </w:rPr>
        <w:t>demonstrate a consistent and proactive approach to promoting economic justice</w:t>
      </w:r>
      <w:r>
        <w:rPr>
          <w:rFonts w:eastAsia="Calibri"/>
        </w:rPr>
        <w:t xml:space="preserve"> such as the </w:t>
      </w:r>
      <w:r w:rsidR="00FD39FA" w:rsidRPr="00FD39FA">
        <w:rPr>
          <w:rFonts w:eastAsia="Calibri"/>
        </w:rPr>
        <w:t xml:space="preserve">company's recognition in diversity indices, support for diverse suppliers, and community-focused programs underscore its dedication to equitable practices. </w:t>
      </w:r>
      <w:r w:rsidR="00403583">
        <w:rPr>
          <w:rFonts w:eastAsia="Calibri"/>
        </w:rPr>
        <w:t xml:space="preserve">According to the </w:t>
      </w:r>
      <w:r w:rsidR="00FD39FA" w:rsidRPr="00FD39FA">
        <w:rPr>
          <w:rFonts w:eastAsia="Calibri"/>
        </w:rPr>
        <w:t>challenges remain, particularly in international contexts like Guatemala, the firm's established initiatives provide a solid foundation for meaningful and sustained change in advancing economic equity.</w:t>
      </w:r>
    </w:p>
    <w:p w14:paraId="1E6A5ADF" w14:textId="7FA59868" w:rsidR="00736A12" w:rsidRDefault="00736A12" w:rsidP="00736A12">
      <w:pPr>
        <w:spacing w:line="480" w:lineRule="auto"/>
        <w:jc w:val="center"/>
        <w:rPr>
          <w:rFonts w:eastAsia="Calibri"/>
          <w:b/>
          <w:bCs/>
        </w:rPr>
      </w:pPr>
      <w:r>
        <w:rPr>
          <w:rFonts w:eastAsia="Calibri"/>
          <w:b/>
          <w:bCs/>
        </w:rPr>
        <w:t>Global View</w:t>
      </w:r>
    </w:p>
    <w:p w14:paraId="39AE7A3D" w14:textId="4D88C6B1" w:rsidR="00FD39FA" w:rsidRPr="00403583" w:rsidRDefault="00FD39FA" w:rsidP="004525E8">
      <w:pPr>
        <w:spacing w:line="480" w:lineRule="auto"/>
        <w:jc w:val="both"/>
        <w:rPr>
          <w:rFonts w:eastAsia="Calibri"/>
        </w:rPr>
      </w:pPr>
      <w:r w:rsidRPr="00403583">
        <w:rPr>
          <w:rFonts w:eastAsia="Calibri"/>
        </w:rPr>
        <w:tab/>
      </w:r>
      <w:r w:rsidR="00403583" w:rsidRPr="00403583">
        <w:rPr>
          <w:rFonts w:eastAsia="Calibri"/>
        </w:rPr>
        <w:t xml:space="preserve">As per the various studies which tends to indicate that the </w:t>
      </w:r>
      <w:r w:rsidRPr="00403583">
        <w:rPr>
          <w:rFonts w:eastAsia="Calibri"/>
        </w:rPr>
        <w:t xml:space="preserve">Guatemala's track record on economic justice and equity reveals persistent challenges rooted in historical, structural, and socio-political factors. </w:t>
      </w:r>
      <w:r w:rsidR="00403583">
        <w:rPr>
          <w:rFonts w:eastAsia="Calibri"/>
        </w:rPr>
        <w:t xml:space="preserve">Based on the </w:t>
      </w:r>
      <w:r w:rsidRPr="00403583">
        <w:rPr>
          <w:rFonts w:eastAsia="Calibri"/>
        </w:rPr>
        <w:t>largest economy in Central America, the country grapples with significant income inequality, widespread poverty, and social exclusion, particularly among indigenous and rural populations.</w:t>
      </w:r>
    </w:p>
    <w:p w14:paraId="54A8AEDD" w14:textId="7D6CCFD0" w:rsidR="00FD39FA" w:rsidRPr="00FD39FA" w:rsidRDefault="00403583" w:rsidP="004525E8">
      <w:pPr>
        <w:spacing w:line="480" w:lineRule="auto"/>
        <w:ind w:firstLine="720"/>
        <w:jc w:val="both"/>
        <w:rPr>
          <w:rFonts w:eastAsia="Calibri"/>
        </w:rPr>
      </w:pPr>
      <w:r>
        <w:rPr>
          <w:rFonts w:eastAsia="Calibri"/>
        </w:rPr>
        <w:t xml:space="preserve">In accordance with the </w:t>
      </w:r>
      <w:r w:rsidR="00FD39FA" w:rsidRPr="00FD39FA">
        <w:rPr>
          <w:rFonts w:eastAsia="Calibri"/>
        </w:rPr>
        <w:t>Gini coefficient, a measure of income inequality, stood at 48.3 in 2014, indicating a high level of disparity in income distribution</w:t>
      </w:r>
      <w:r>
        <w:rPr>
          <w:rFonts w:eastAsia="Calibri"/>
        </w:rPr>
        <w:t xml:space="preserve"> and t</w:t>
      </w:r>
      <w:r w:rsidR="00FD39FA" w:rsidRPr="00FD39FA">
        <w:rPr>
          <w:rFonts w:eastAsia="Calibri"/>
        </w:rPr>
        <w:t xml:space="preserve">his figure places Guatemala among the most unequal countries in Latin America. In 2024, approximately 57.3% of Guatemalans lived in poverty, with an average income of $6.85 per day. </w:t>
      </w:r>
      <w:r>
        <w:rPr>
          <w:rFonts w:eastAsia="Calibri"/>
        </w:rPr>
        <w:t>According to the various p</w:t>
      </w:r>
      <w:r w:rsidR="00FD39FA" w:rsidRPr="00FD39FA">
        <w:rPr>
          <w:rFonts w:eastAsia="Calibri"/>
        </w:rPr>
        <w:t xml:space="preserve">rojections </w:t>
      </w:r>
      <w:r>
        <w:rPr>
          <w:rFonts w:eastAsia="Calibri"/>
        </w:rPr>
        <w:t xml:space="preserve">which ultimately </w:t>
      </w:r>
      <w:r w:rsidR="00FD39FA" w:rsidRPr="00FD39FA">
        <w:rPr>
          <w:rFonts w:eastAsia="Calibri"/>
        </w:rPr>
        <w:t xml:space="preserve">suggest a marginal decrease in poverty rates to 57.2% in 2025 and 56.6% in 2026, reflecting slow progress in addressing economic disparities. </w:t>
      </w:r>
    </w:p>
    <w:p w14:paraId="202AD6EC" w14:textId="48F5A815" w:rsidR="00FD39FA" w:rsidRPr="00FD39FA" w:rsidRDefault="00403583" w:rsidP="004525E8">
      <w:pPr>
        <w:spacing w:line="480" w:lineRule="auto"/>
        <w:ind w:firstLine="720"/>
        <w:jc w:val="both"/>
        <w:rPr>
          <w:rFonts w:eastAsia="Calibri"/>
        </w:rPr>
      </w:pPr>
      <w:r>
        <w:rPr>
          <w:rFonts w:eastAsia="Calibri"/>
        </w:rPr>
        <w:lastRenderedPageBreak/>
        <w:t xml:space="preserve">It tends to </w:t>
      </w:r>
      <w:proofErr w:type="spellStart"/>
      <w:r>
        <w:rPr>
          <w:rFonts w:eastAsia="Calibri"/>
        </w:rPr>
        <w:t>analysed</w:t>
      </w:r>
      <w:proofErr w:type="spellEnd"/>
      <w:r>
        <w:rPr>
          <w:rFonts w:eastAsia="Calibri"/>
        </w:rPr>
        <w:t xml:space="preserve"> by the recent research that the I</w:t>
      </w:r>
      <w:r w:rsidR="00FD39FA" w:rsidRPr="00FD39FA">
        <w:rPr>
          <w:rFonts w:eastAsia="Calibri"/>
        </w:rPr>
        <w:t xml:space="preserve">ndigenous communities, comprising nearly 40% of the population, experience disproportionately high poverty rates, with estimates indicating that approximately 80% live in poverty. </w:t>
      </w:r>
      <w:r>
        <w:rPr>
          <w:rFonts w:eastAsia="Calibri"/>
        </w:rPr>
        <w:t>It tends to comprise r</w:t>
      </w:r>
      <w:r w:rsidR="00FD39FA" w:rsidRPr="00FD39FA">
        <w:rPr>
          <w:rFonts w:eastAsia="Calibri"/>
        </w:rPr>
        <w:t xml:space="preserve">ural areas also face significant challenges, with poverty rates increasing from 74.5% in 2000 to 76.1% in 2014. </w:t>
      </w:r>
      <w:r>
        <w:rPr>
          <w:rFonts w:eastAsia="Calibri"/>
        </w:rPr>
        <w:t>On the basis of that t</w:t>
      </w:r>
      <w:r w:rsidR="00FD39FA" w:rsidRPr="00FD39FA">
        <w:rPr>
          <w:rFonts w:eastAsia="Calibri"/>
        </w:rPr>
        <w:t>hese disparities highlight systemic issues related to land distribution, access to education, and healthcare services</w:t>
      </w:r>
      <w:r w:rsidR="00FD39FA">
        <w:rPr>
          <w:rFonts w:eastAsia="Calibri"/>
        </w:rPr>
        <w:t xml:space="preserve">. </w:t>
      </w:r>
      <w:r w:rsidR="00FD39FA" w:rsidRPr="00FD39FA">
        <w:rPr>
          <w:rFonts w:eastAsia="Calibri"/>
        </w:rPr>
        <w:t xml:space="preserve"> </w:t>
      </w:r>
    </w:p>
    <w:p w14:paraId="148D410A" w14:textId="671EC6FC" w:rsidR="00FD39FA" w:rsidRPr="00FD39FA" w:rsidRDefault="00403583" w:rsidP="004525E8">
      <w:pPr>
        <w:spacing w:line="480" w:lineRule="auto"/>
        <w:ind w:firstLine="720"/>
        <w:jc w:val="both"/>
        <w:rPr>
          <w:rFonts w:eastAsia="Calibri"/>
        </w:rPr>
      </w:pPr>
      <w:r>
        <w:rPr>
          <w:rFonts w:eastAsia="Calibri"/>
        </w:rPr>
        <w:t>It is important to implement the e</w:t>
      </w:r>
      <w:r w:rsidR="00FD39FA" w:rsidRPr="00FD39FA">
        <w:rPr>
          <w:rFonts w:eastAsia="Calibri"/>
        </w:rPr>
        <w:t>fforts</w:t>
      </w:r>
      <w:r>
        <w:rPr>
          <w:rFonts w:eastAsia="Calibri"/>
        </w:rPr>
        <w:t xml:space="preserve"> in order</w:t>
      </w:r>
      <w:r w:rsidR="00FD39FA" w:rsidRPr="00FD39FA">
        <w:rPr>
          <w:rFonts w:eastAsia="Calibri"/>
        </w:rPr>
        <w:t xml:space="preserve"> to promote economic </w:t>
      </w:r>
      <w:r w:rsidRPr="00FD39FA">
        <w:rPr>
          <w:rFonts w:eastAsia="Calibri"/>
        </w:rPr>
        <w:t>justice that</w:t>
      </w:r>
      <w:r w:rsidR="00FD39FA" w:rsidRPr="00FD39FA">
        <w:rPr>
          <w:rFonts w:eastAsia="Calibri"/>
        </w:rPr>
        <w:t xml:space="preserve"> are hindered by institutional weaknesses and governance issues. </w:t>
      </w:r>
      <w:r>
        <w:rPr>
          <w:rFonts w:eastAsia="Calibri"/>
        </w:rPr>
        <w:t xml:space="preserve">According to the </w:t>
      </w:r>
      <w:r w:rsidR="00FD39FA" w:rsidRPr="00FD39FA">
        <w:rPr>
          <w:rFonts w:eastAsia="Calibri"/>
        </w:rPr>
        <w:t xml:space="preserve">Guatemala </w:t>
      </w:r>
      <w:r>
        <w:rPr>
          <w:rFonts w:eastAsia="Calibri"/>
        </w:rPr>
        <w:t xml:space="preserve">which ultimately </w:t>
      </w:r>
      <w:r w:rsidR="00FD39FA" w:rsidRPr="00FD39FA">
        <w:rPr>
          <w:rFonts w:eastAsia="Calibri"/>
        </w:rPr>
        <w:t xml:space="preserve">ranks low on various governance indicators, including judicial independence and control of corruption. </w:t>
      </w:r>
      <w:r>
        <w:rPr>
          <w:rFonts w:eastAsia="Calibri"/>
        </w:rPr>
        <w:t>Based on political</w:t>
      </w:r>
      <w:r w:rsidR="00FD39FA" w:rsidRPr="00FD39FA">
        <w:rPr>
          <w:rFonts w:eastAsia="Calibri"/>
        </w:rPr>
        <w:t xml:space="preserve"> instability and limited public trust in institutions further complicate the implementation of effective policies aimed at reducing inequality</w:t>
      </w:r>
      <w:r w:rsidR="00FD39FA">
        <w:rPr>
          <w:rFonts w:eastAsia="Calibri"/>
        </w:rPr>
        <w:t xml:space="preserve">. </w:t>
      </w:r>
    </w:p>
    <w:p w14:paraId="6827C964" w14:textId="734F3838" w:rsidR="00736A12" w:rsidRDefault="00736A12" w:rsidP="00736A12">
      <w:pPr>
        <w:spacing w:line="480" w:lineRule="auto"/>
        <w:jc w:val="center"/>
        <w:rPr>
          <w:rFonts w:eastAsia="Calibri"/>
          <w:b/>
          <w:bCs/>
        </w:rPr>
      </w:pPr>
      <w:r>
        <w:rPr>
          <w:rFonts w:eastAsia="Calibri"/>
          <w:b/>
          <w:bCs/>
        </w:rPr>
        <w:t xml:space="preserve">Regional Comparison </w:t>
      </w:r>
    </w:p>
    <w:p w14:paraId="09880AB0" w14:textId="0E3A0502" w:rsidR="00FD39FA" w:rsidRPr="00FD39FA" w:rsidRDefault="00FD39FA" w:rsidP="004525E8">
      <w:pPr>
        <w:spacing w:line="480" w:lineRule="auto"/>
        <w:jc w:val="both"/>
        <w:rPr>
          <w:rFonts w:eastAsia="Calibri"/>
        </w:rPr>
      </w:pPr>
      <w:r>
        <w:rPr>
          <w:rFonts w:eastAsia="Calibri"/>
          <w:b/>
          <w:bCs/>
        </w:rPr>
        <w:tab/>
      </w:r>
      <w:r w:rsidR="00403583">
        <w:rPr>
          <w:rFonts w:eastAsia="Calibri"/>
        </w:rPr>
        <w:t>It is important to note that w</w:t>
      </w:r>
      <w:r w:rsidRPr="00FD39FA">
        <w:rPr>
          <w:rFonts w:eastAsia="Calibri"/>
        </w:rPr>
        <w:t>hen comparing Guatemala's economic justice and equity to other Central American countries, notable disparities emerge, particularly in income inequality as measured by the Gini coefficient.</w:t>
      </w:r>
    </w:p>
    <w:p w14:paraId="430EB184" w14:textId="4CCB629C" w:rsidR="00FD39FA" w:rsidRPr="00FD39FA" w:rsidRDefault="00403583" w:rsidP="004525E8">
      <w:pPr>
        <w:spacing w:line="480" w:lineRule="auto"/>
        <w:ind w:firstLine="720"/>
        <w:jc w:val="both"/>
        <w:rPr>
          <w:rFonts w:eastAsia="Calibri"/>
        </w:rPr>
      </w:pPr>
      <w:r>
        <w:rPr>
          <w:rFonts w:eastAsia="Calibri"/>
        </w:rPr>
        <w:t xml:space="preserve">In accordance with the </w:t>
      </w:r>
      <w:r w:rsidR="00FD39FA" w:rsidRPr="00FD39FA">
        <w:rPr>
          <w:rFonts w:eastAsia="Calibri"/>
        </w:rPr>
        <w:t>2023, Guatemala's Gini index was 50.2, reflecting a high level of income inequality</w:t>
      </w:r>
      <w:r>
        <w:rPr>
          <w:rFonts w:eastAsia="Calibri"/>
        </w:rPr>
        <w:t xml:space="preserve"> and t</w:t>
      </w:r>
      <w:r w:rsidR="00FD39FA" w:rsidRPr="00FD39FA">
        <w:rPr>
          <w:rFonts w:eastAsia="Calibri"/>
        </w:rPr>
        <w:t xml:space="preserve">his marks an increase from 48.3 in 2014, indicating a widening income gap over the past decade. </w:t>
      </w:r>
      <w:r>
        <w:rPr>
          <w:rFonts w:eastAsia="Calibri"/>
        </w:rPr>
        <w:t xml:space="preserve">It is evident from certain studies that the </w:t>
      </w:r>
      <w:r w:rsidR="00FD39FA" w:rsidRPr="00FD39FA">
        <w:rPr>
          <w:rFonts w:eastAsia="Calibri"/>
        </w:rPr>
        <w:t xml:space="preserve">poverty rate remains significant, with 55.4% of the population living below the poverty line in 2024. </w:t>
      </w:r>
    </w:p>
    <w:p w14:paraId="25BCFBE8" w14:textId="67F0388C" w:rsidR="00FD39FA" w:rsidRPr="00FD39FA" w:rsidRDefault="00FD39FA" w:rsidP="004525E8">
      <w:pPr>
        <w:spacing w:line="480" w:lineRule="auto"/>
        <w:ind w:firstLine="720"/>
        <w:jc w:val="both"/>
        <w:rPr>
          <w:rFonts w:eastAsia="Calibri"/>
        </w:rPr>
      </w:pPr>
      <w:r w:rsidRPr="00FD39FA">
        <w:rPr>
          <w:rFonts w:eastAsia="Calibri"/>
        </w:rPr>
        <w:t xml:space="preserve">In </w:t>
      </w:r>
      <w:r w:rsidR="00403583">
        <w:rPr>
          <w:rFonts w:eastAsia="Calibri"/>
        </w:rPr>
        <w:t xml:space="preserve">accordance with </w:t>
      </w:r>
      <w:r w:rsidRPr="00FD39FA">
        <w:rPr>
          <w:rFonts w:eastAsia="Calibri"/>
        </w:rPr>
        <w:t xml:space="preserve">2024, Honduras reported a Gini index of 47.0, slightly lower than Guatemala's but still indicative of substantial income inequality. </w:t>
      </w:r>
      <w:r w:rsidR="00403583">
        <w:rPr>
          <w:rFonts w:eastAsia="Calibri"/>
        </w:rPr>
        <w:t xml:space="preserve">However, on the basis of that the </w:t>
      </w:r>
      <w:r w:rsidRPr="00FD39FA">
        <w:rPr>
          <w:rFonts w:eastAsia="Calibri"/>
        </w:rPr>
        <w:t xml:space="preserve">country has faced challenges in reducing poverty and improving income distribution, with limited progress over recent years. </w:t>
      </w:r>
    </w:p>
    <w:p w14:paraId="5E18BCC9" w14:textId="610BF5C1" w:rsidR="00FD39FA" w:rsidRPr="00FD39FA" w:rsidRDefault="00403583" w:rsidP="00D65771">
      <w:pPr>
        <w:spacing w:line="480" w:lineRule="auto"/>
        <w:ind w:firstLine="720"/>
        <w:jc w:val="both"/>
        <w:rPr>
          <w:rFonts w:eastAsia="Calibri"/>
        </w:rPr>
      </w:pPr>
      <w:r>
        <w:rPr>
          <w:rFonts w:eastAsia="Calibri"/>
        </w:rPr>
        <w:lastRenderedPageBreak/>
        <w:t xml:space="preserve">It is evident from the recent studies </w:t>
      </w:r>
      <w:r w:rsidR="00FD39FA" w:rsidRPr="00FD39FA">
        <w:rPr>
          <w:rFonts w:eastAsia="Calibri"/>
        </w:rPr>
        <w:t>El Salvador has demonstrated more equitable income distribution, with a Gini coefficient of 39.8 in 2023, the lowest among the countries compared</w:t>
      </w:r>
      <w:r>
        <w:rPr>
          <w:rFonts w:eastAsia="Calibri"/>
        </w:rPr>
        <w:t xml:space="preserve"> and t</w:t>
      </w:r>
      <w:r w:rsidR="00FD39FA" w:rsidRPr="00FD39FA">
        <w:rPr>
          <w:rFonts w:eastAsia="Calibri"/>
        </w:rPr>
        <w:t xml:space="preserve">his suggests more effective policies in addressing income disparities. </w:t>
      </w:r>
    </w:p>
    <w:p w14:paraId="760F4C20" w14:textId="092BA73B" w:rsidR="00FD39FA" w:rsidRPr="00FD39FA" w:rsidRDefault="00403583" w:rsidP="00D65771">
      <w:pPr>
        <w:spacing w:line="480" w:lineRule="auto"/>
        <w:ind w:firstLine="720"/>
        <w:jc w:val="both"/>
        <w:rPr>
          <w:rFonts w:eastAsia="Calibri"/>
        </w:rPr>
      </w:pPr>
      <w:r>
        <w:rPr>
          <w:rFonts w:eastAsia="Calibri"/>
        </w:rPr>
        <w:t xml:space="preserve">According to the </w:t>
      </w:r>
      <w:r w:rsidR="00FD39FA" w:rsidRPr="00FD39FA">
        <w:rPr>
          <w:rFonts w:eastAsia="Calibri"/>
        </w:rPr>
        <w:t xml:space="preserve">Nicaragua's Gini index was 46.7 in 2019, indicating a moderate level of income inequality. </w:t>
      </w:r>
      <w:r>
        <w:rPr>
          <w:rFonts w:eastAsia="Calibri"/>
        </w:rPr>
        <w:t xml:space="preserve">So, on the basis of </w:t>
      </w:r>
      <w:r w:rsidR="00FD39FA" w:rsidRPr="00FD39FA">
        <w:rPr>
          <w:rFonts w:eastAsia="Calibri"/>
        </w:rPr>
        <w:t xml:space="preserve">specific data for 2024 is not available, the country has made efforts to reduce poverty and improve economic equity. </w:t>
      </w:r>
    </w:p>
    <w:p w14:paraId="7CB5A09B" w14:textId="09C8EF17" w:rsidR="00FD39FA" w:rsidRPr="00FD39FA" w:rsidRDefault="00FD39FA" w:rsidP="00D65771">
      <w:pPr>
        <w:spacing w:line="480" w:lineRule="auto"/>
        <w:ind w:firstLine="720"/>
        <w:jc w:val="both"/>
        <w:rPr>
          <w:rFonts w:eastAsia="Calibri"/>
        </w:rPr>
      </w:pPr>
      <w:r w:rsidRPr="00FD39FA">
        <w:rPr>
          <w:rFonts w:eastAsia="Calibri"/>
        </w:rPr>
        <w:t xml:space="preserve">In </w:t>
      </w:r>
      <w:r w:rsidR="00403583">
        <w:rPr>
          <w:rFonts w:eastAsia="Calibri"/>
        </w:rPr>
        <w:t xml:space="preserve">accordance with </w:t>
      </w:r>
      <w:r w:rsidRPr="00FD39FA">
        <w:rPr>
          <w:rFonts w:eastAsia="Calibri"/>
        </w:rPr>
        <w:t xml:space="preserve">2023, Costa Rica reported a Gini index of 46.7, reflecting a relatively balanced income distribution compared to its regional counterparts. </w:t>
      </w:r>
      <w:r w:rsidR="00403583">
        <w:rPr>
          <w:rFonts w:eastAsia="Calibri"/>
        </w:rPr>
        <w:t xml:space="preserve">It also tends to include the </w:t>
      </w:r>
      <w:r w:rsidRPr="00FD39FA">
        <w:rPr>
          <w:rFonts w:eastAsia="Calibri"/>
        </w:rPr>
        <w:t xml:space="preserve">country </w:t>
      </w:r>
      <w:r w:rsidR="00403583">
        <w:rPr>
          <w:rFonts w:eastAsia="Calibri"/>
        </w:rPr>
        <w:t xml:space="preserve">which </w:t>
      </w:r>
      <w:r w:rsidRPr="00FD39FA">
        <w:rPr>
          <w:rFonts w:eastAsia="Calibri"/>
        </w:rPr>
        <w:t>has implemented social programs aimed at reducing inequality and promoting economic justice.</w:t>
      </w:r>
    </w:p>
    <w:p w14:paraId="12D50D30" w14:textId="70427F4A" w:rsidR="00736A12" w:rsidRDefault="00736A12" w:rsidP="00736A12">
      <w:pPr>
        <w:spacing w:line="480" w:lineRule="auto"/>
        <w:jc w:val="center"/>
        <w:rPr>
          <w:rFonts w:eastAsia="Calibri"/>
          <w:b/>
          <w:bCs/>
        </w:rPr>
      </w:pPr>
      <w:r>
        <w:rPr>
          <w:rFonts w:eastAsia="Calibri"/>
          <w:b/>
          <w:bCs/>
        </w:rPr>
        <w:t>Country Evaluation</w:t>
      </w:r>
    </w:p>
    <w:p w14:paraId="50B3096F" w14:textId="541D80BC" w:rsidR="00FD39FA" w:rsidRPr="00403583" w:rsidRDefault="00FD39FA" w:rsidP="00DF42B8">
      <w:pPr>
        <w:spacing w:line="480" w:lineRule="auto"/>
        <w:jc w:val="both"/>
        <w:rPr>
          <w:rFonts w:eastAsia="Calibri"/>
        </w:rPr>
      </w:pPr>
      <w:r w:rsidRPr="00403583">
        <w:rPr>
          <w:rFonts w:eastAsia="Calibri"/>
        </w:rPr>
        <w:tab/>
      </w:r>
      <w:r w:rsidR="00403583" w:rsidRPr="00403583">
        <w:rPr>
          <w:rFonts w:eastAsia="Calibri"/>
        </w:rPr>
        <w:t xml:space="preserve">According to the </w:t>
      </w:r>
      <w:r w:rsidRPr="00403583">
        <w:rPr>
          <w:rFonts w:eastAsia="Calibri"/>
        </w:rPr>
        <w:t xml:space="preserve">Guatemala's cultural values, deeply rooted in indigenous traditions and communal living, emphasize social harmony and collective well-being. </w:t>
      </w:r>
      <w:r w:rsidR="00403583">
        <w:rPr>
          <w:rFonts w:eastAsia="Calibri"/>
        </w:rPr>
        <w:t>Based on t</w:t>
      </w:r>
      <w:r w:rsidRPr="00403583">
        <w:rPr>
          <w:rFonts w:eastAsia="Calibri"/>
        </w:rPr>
        <w:t>hese values, encapsulated in the indigenous philosophy of "</w:t>
      </w:r>
      <w:proofErr w:type="spellStart"/>
      <w:r w:rsidRPr="00403583">
        <w:rPr>
          <w:rFonts w:eastAsia="Calibri"/>
        </w:rPr>
        <w:t>buen</w:t>
      </w:r>
      <w:proofErr w:type="spellEnd"/>
      <w:r w:rsidRPr="00403583">
        <w:rPr>
          <w:rFonts w:eastAsia="Calibri"/>
        </w:rPr>
        <w:t xml:space="preserve"> </w:t>
      </w:r>
      <w:proofErr w:type="spellStart"/>
      <w:r w:rsidRPr="00403583">
        <w:rPr>
          <w:rFonts w:eastAsia="Calibri"/>
        </w:rPr>
        <w:t>vivir</w:t>
      </w:r>
      <w:proofErr w:type="spellEnd"/>
      <w:r w:rsidRPr="00403583">
        <w:rPr>
          <w:rFonts w:eastAsia="Calibri"/>
        </w:rPr>
        <w:t xml:space="preserve">" (good living), prioritize community welfare over individual gain. </w:t>
      </w:r>
      <w:r w:rsidR="00403583">
        <w:rPr>
          <w:rFonts w:eastAsia="Calibri"/>
        </w:rPr>
        <w:t xml:space="preserve">Despite the various factors, </w:t>
      </w:r>
      <w:r w:rsidR="00403583" w:rsidRPr="00403583">
        <w:rPr>
          <w:rFonts w:eastAsia="Calibri"/>
        </w:rPr>
        <w:t>the nation’s</w:t>
      </w:r>
      <w:r w:rsidRPr="00403583">
        <w:rPr>
          <w:rFonts w:eastAsia="Calibri"/>
        </w:rPr>
        <w:t xml:space="preserve"> path toward meaningful economic justice is impeded by entrenched systemic challenges. </w:t>
      </w:r>
    </w:p>
    <w:p w14:paraId="7F79F8D8" w14:textId="77777777" w:rsidR="000455F6" w:rsidRDefault="000455F6" w:rsidP="00736A12">
      <w:pPr>
        <w:pStyle w:val="Blockquote"/>
        <w:spacing w:before="0" w:after="0" w:line="480" w:lineRule="auto"/>
        <w:ind w:left="0"/>
        <w:jc w:val="center"/>
        <w:rPr>
          <w:b/>
          <w:color w:val="000000"/>
          <w:szCs w:val="24"/>
        </w:rPr>
      </w:pPr>
      <w:r w:rsidRPr="00736A12">
        <w:rPr>
          <w:b/>
          <w:color w:val="000000"/>
          <w:szCs w:val="24"/>
        </w:rPr>
        <w:t>Conclusion</w:t>
      </w:r>
    </w:p>
    <w:p w14:paraId="6A384C54" w14:textId="340869CE" w:rsidR="00FD39FA" w:rsidRPr="00FD39FA" w:rsidRDefault="00403583" w:rsidP="006D5362">
      <w:pPr>
        <w:pStyle w:val="Blockquote"/>
        <w:spacing w:before="0" w:after="0" w:line="480" w:lineRule="auto"/>
        <w:ind w:left="0" w:firstLine="720"/>
        <w:jc w:val="both"/>
        <w:rPr>
          <w:bCs/>
          <w:color w:val="000000"/>
        </w:rPr>
      </w:pPr>
      <w:r>
        <w:rPr>
          <w:bCs/>
          <w:color w:val="000000"/>
        </w:rPr>
        <w:t xml:space="preserve">According to the above analysis which tends to conclude that </w:t>
      </w:r>
      <w:r w:rsidR="00FD39FA" w:rsidRPr="00FD39FA">
        <w:rPr>
          <w:bCs/>
          <w:color w:val="000000"/>
        </w:rPr>
        <w:t xml:space="preserve">the pursuit of economic justice remains a complex challenge for both Office Depot Inc. and the nation of Guatemala. </w:t>
      </w:r>
      <w:r>
        <w:rPr>
          <w:bCs/>
          <w:color w:val="000000"/>
        </w:rPr>
        <w:t xml:space="preserve">So, on the basis of that the </w:t>
      </w:r>
      <w:r w:rsidR="00FD39FA" w:rsidRPr="00FD39FA">
        <w:rPr>
          <w:bCs/>
          <w:color w:val="000000"/>
        </w:rPr>
        <w:t xml:space="preserve">Office Depot has demonstrated a commitment to diversity, supplier equity, and community investment, meaningful change requires sustained effort and measurable outcomes. </w:t>
      </w:r>
    </w:p>
    <w:p w14:paraId="5FC249A1" w14:textId="77777777" w:rsidR="000455F6" w:rsidRPr="00B224B6" w:rsidRDefault="000455F6" w:rsidP="003F62B7">
      <w:pPr>
        <w:tabs>
          <w:tab w:val="left" w:pos="360"/>
        </w:tabs>
        <w:overflowPunct w:val="0"/>
        <w:autoSpaceDE w:val="0"/>
        <w:autoSpaceDN w:val="0"/>
        <w:adjustRightInd w:val="0"/>
        <w:spacing w:line="480" w:lineRule="auto"/>
        <w:ind w:left="-360"/>
        <w:jc w:val="center"/>
        <w:textAlignment w:val="baseline"/>
        <w:rPr>
          <w:color w:val="000000"/>
          <w:highlight w:val="yellow"/>
        </w:rPr>
      </w:pPr>
      <w:r w:rsidRPr="00B224B6">
        <w:rPr>
          <w:color w:val="000000"/>
        </w:rPr>
        <w:br w:type="page"/>
      </w:r>
      <w:r w:rsidRPr="00B224B6">
        <w:rPr>
          <w:b/>
          <w:color w:val="000000"/>
        </w:rPr>
        <w:lastRenderedPageBreak/>
        <w:t>References</w:t>
      </w:r>
    </w:p>
    <w:p w14:paraId="0400569E" w14:textId="77777777" w:rsidR="00A85E1C" w:rsidRPr="00B224B6" w:rsidRDefault="00A85E1C" w:rsidP="00FC3440">
      <w:pPr>
        <w:spacing w:line="480" w:lineRule="auto"/>
        <w:ind w:left="720" w:hanging="720"/>
        <w:jc w:val="both"/>
        <w:rPr>
          <w:color w:val="000000"/>
        </w:rPr>
      </w:pPr>
      <w:proofErr w:type="spellStart"/>
      <w:r w:rsidRPr="00A85E1C">
        <w:rPr>
          <w:color w:val="000000"/>
        </w:rPr>
        <w:t>Bohonos</w:t>
      </w:r>
      <w:proofErr w:type="spellEnd"/>
      <w:r w:rsidRPr="00A85E1C">
        <w:rPr>
          <w:color w:val="000000"/>
        </w:rPr>
        <w:t>, J. W., &amp; Sisco, S. (2021). Advocating for social justice, equity, and inclusion in the workplace: An agenda for anti‐racist learning organizations. </w:t>
      </w:r>
      <w:r w:rsidRPr="00A85E1C">
        <w:rPr>
          <w:i/>
          <w:iCs/>
          <w:color w:val="000000"/>
        </w:rPr>
        <w:t>New Directions for Adult and Continuing Education</w:t>
      </w:r>
      <w:r w:rsidRPr="00A85E1C">
        <w:rPr>
          <w:color w:val="000000"/>
        </w:rPr>
        <w:t>, </w:t>
      </w:r>
      <w:r w:rsidRPr="00A85E1C">
        <w:rPr>
          <w:i/>
          <w:iCs/>
          <w:color w:val="000000"/>
        </w:rPr>
        <w:t>2021</w:t>
      </w:r>
      <w:r w:rsidRPr="00A85E1C">
        <w:rPr>
          <w:color w:val="000000"/>
        </w:rPr>
        <w:t>(170), 89-98.</w:t>
      </w:r>
    </w:p>
    <w:p w14:paraId="1C079882" w14:textId="77777777" w:rsidR="00A85E1C" w:rsidRDefault="00A85E1C" w:rsidP="00FC3440">
      <w:pPr>
        <w:spacing w:line="480" w:lineRule="auto"/>
        <w:ind w:left="720" w:hanging="720"/>
        <w:jc w:val="both"/>
        <w:rPr>
          <w:color w:val="000000"/>
        </w:rPr>
      </w:pPr>
      <w:proofErr w:type="spellStart"/>
      <w:r w:rsidRPr="00A85E1C">
        <w:rPr>
          <w:color w:val="000000"/>
        </w:rPr>
        <w:t>Córdova</w:t>
      </w:r>
      <w:proofErr w:type="spellEnd"/>
      <w:r w:rsidRPr="00A85E1C">
        <w:rPr>
          <w:color w:val="000000"/>
        </w:rPr>
        <w:t>, T., Bravo, J., &amp; Acosta-</w:t>
      </w:r>
      <w:proofErr w:type="spellStart"/>
      <w:r w:rsidRPr="00A85E1C">
        <w:rPr>
          <w:color w:val="000000"/>
        </w:rPr>
        <w:t>Córdova</w:t>
      </w:r>
      <w:proofErr w:type="spellEnd"/>
      <w:r w:rsidRPr="00A85E1C">
        <w:rPr>
          <w:color w:val="000000"/>
        </w:rPr>
        <w:t>, J. M. (2023). Environmental justice and the Alliance for a just transition: Grist for climate justice planning. </w:t>
      </w:r>
      <w:r w:rsidRPr="00A85E1C">
        <w:rPr>
          <w:i/>
          <w:iCs/>
          <w:color w:val="000000"/>
        </w:rPr>
        <w:t>Journal of Planning Literature</w:t>
      </w:r>
      <w:r w:rsidRPr="00A85E1C">
        <w:rPr>
          <w:color w:val="000000"/>
        </w:rPr>
        <w:t>, </w:t>
      </w:r>
      <w:r w:rsidRPr="00A85E1C">
        <w:rPr>
          <w:i/>
          <w:iCs/>
          <w:color w:val="000000"/>
        </w:rPr>
        <w:t>38</w:t>
      </w:r>
      <w:r w:rsidRPr="00A85E1C">
        <w:rPr>
          <w:color w:val="000000"/>
        </w:rPr>
        <w:t>(3), 408-415.</w:t>
      </w:r>
    </w:p>
    <w:p w14:paraId="6A72740A" w14:textId="77777777" w:rsidR="00A85E1C" w:rsidRDefault="00A85E1C" w:rsidP="00FC3440">
      <w:pPr>
        <w:spacing w:line="480" w:lineRule="auto"/>
        <w:ind w:left="720" w:hanging="720"/>
        <w:jc w:val="both"/>
        <w:rPr>
          <w:color w:val="000000"/>
        </w:rPr>
      </w:pPr>
      <w:proofErr w:type="spellStart"/>
      <w:r w:rsidRPr="00A85E1C">
        <w:rPr>
          <w:color w:val="000000"/>
        </w:rPr>
        <w:t>Dzwigol</w:t>
      </w:r>
      <w:proofErr w:type="spellEnd"/>
      <w:r w:rsidRPr="00A85E1C">
        <w:rPr>
          <w:color w:val="000000"/>
        </w:rPr>
        <w:t xml:space="preserve">, H., </w:t>
      </w:r>
      <w:proofErr w:type="spellStart"/>
      <w:r w:rsidRPr="00A85E1C">
        <w:rPr>
          <w:color w:val="000000"/>
        </w:rPr>
        <w:t>Trushkina</w:t>
      </w:r>
      <w:proofErr w:type="spellEnd"/>
      <w:r w:rsidRPr="00A85E1C">
        <w:rPr>
          <w:color w:val="000000"/>
        </w:rPr>
        <w:t xml:space="preserve">, N., &amp; </w:t>
      </w:r>
      <w:proofErr w:type="spellStart"/>
      <w:r w:rsidRPr="00A85E1C">
        <w:rPr>
          <w:color w:val="000000"/>
        </w:rPr>
        <w:t>Kwilinski</w:t>
      </w:r>
      <w:proofErr w:type="spellEnd"/>
      <w:r w:rsidRPr="00A85E1C">
        <w:rPr>
          <w:color w:val="000000"/>
        </w:rPr>
        <w:t>, A. (2021). The organizational and economic mechanism of implementing the concept of green logistics.</w:t>
      </w:r>
    </w:p>
    <w:p w14:paraId="43DA820B" w14:textId="77777777" w:rsidR="00A85E1C" w:rsidRDefault="00A85E1C" w:rsidP="00FC3440">
      <w:pPr>
        <w:spacing w:line="480" w:lineRule="auto"/>
        <w:ind w:left="720" w:hanging="720"/>
        <w:jc w:val="both"/>
        <w:rPr>
          <w:color w:val="000000"/>
        </w:rPr>
      </w:pPr>
      <w:r w:rsidRPr="00A85E1C">
        <w:rPr>
          <w:color w:val="000000"/>
        </w:rPr>
        <w:t>Resnik, D. B. (2022). Environmental justice and climate change policies. </w:t>
      </w:r>
      <w:r w:rsidRPr="00A85E1C">
        <w:rPr>
          <w:i/>
          <w:iCs/>
          <w:color w:val="000000"/>
        </w:rPr>
        <w:t>Bioethics</w:t>
      </w:r>
      <w:r w:rsidRPr="00A85E1C">
        <w:rPr>
          <w:color w:val="000000"/>
        </w:rPr>
        <w:t>, </w:t>
      </w:r>
      <w:r w:rsidRPr="00A85E1C">
        <w:rPr>
          <w:i/>
          <w:iCs/>
          <w:color w:val="000000"/>
        </w:rPr>
        <w:t>36</w:t>
      </w:r>
      <w:r w:rsidRPr="00A85E1C">
        <w:rPr>
          <w:color w:val="000000"/>
        </w:rPr>
        <w:t>(7), 735-741.</w:t>
      </w:r>
    </w:p>
    <w:p w14:paraId="30BBB4BE" w14:textId="77777777" w:rsidR="00A85E1C" w:rsidRDefault="00A85E1C" w:rsidP="00FC3440">
      <w:pPr>
        <w:spacing w:line="480" w:lineRule="auto"/>
        <w:ind w:left="720" w:hanging="720"/>
        <w:jc w:val="both"/>
        <w:rPr>
          <w:color w:val="000000"/>
        </w:rPr>
      </w:pPr>
      <w:r w:rsidRPr="00A85E1C">
        <w:rPr>
          <w:color w:val="000000"/>
        </w:rPr>
        <w:t xml:space="preserve">Sarfraz, M., </w:t>
      </w:r>
      <w:proofErr w:type="spellStart"/>
      <w:r w:rsidRPr="00A85E1C">
        <w:rPr>
          <w:color w:val="000000"/>
        </w:rPr>
        <w:t>Ivascu</w:t>
      </w:r>
      <w:proofErr w:type="spellEnd"/>
      <w:r w:rsidRPr="00A85E1C">
        <w:rPr>
          <w:color w:val="000000"/>
        </w:rPr>
        <w:t xml:space="preserve">, L., </w:t>
      </w:r>
      <w:proofErr w:type="spellStart"/>
      <w:r w:rsidRPr="00A85E1C">
        <w:rPr>
          <w:color w:val="000000"/>
        </w:rPr>
        <w:t>Belu</w:t>
      </w:r>
      <w:proofErr w:type="spellEnd"/>
      <w:r w:rsidRPr="00A85E1C">
        <w:rPr>
          <w:color w:val="000000"/>
        </w:rPr>
        <w:t xml:space="preserve">, R., &amp; </w:t>
      </w:r>
      <w:proofErr w:type="spellStart"/>
      <w:r w:rsidRPr="00A85E1C">
        <w:rPr>
          <w:color w:val="000000"/>
        </w:rPr>
        <w:t>Artene</w:t>
      </w:r>
      <w:proofErr w:type="spellEnd"/>
      <w:r w:rsidRPr="00A85E1C">
        <w:rPr>
          <w:color w:val="000000"/>
        </w:rPr>
        <w:t>, A. (2021). Accentuating the interconnection between business sustainability and organizational performance in the context of the circular economy: The moderating role of organizational competitiveness. </w:t>
      </w:r>
      <w:r w:rsidRPr="00A85E1C">
        <w:rPr>
          <w:i/>
          <w:iCs/>
          <w:color w:val="000000"/>
        </w:rPr>
        <w:t>Business Strategy and the Environment</w:t>
      </w:r>
      <w:r w:rsidRPr="00A85E1C">
        <w:rPr>
          <w:color w:val="000000"/>
        </w:rPr>
        <w:t>, </w:t>
      </w:r>
      <w:r w:rsidRPr="00A85E1C">
        <w:rPr>
          <w:i/>
          <w:iCs/>
          <w:color w:val="000000"/>
        </w:rPr>
        <w:t>30</w:t>
      </w:r>
      <w:r w:rsidRPr="00A85E1C">
        <w:rPr>
          <w:color w:val="000000"/>
        </w:rPr>
        <w:t>(4), 2108-2118.</w:t>
      </w:r>
    </w:p>
    <w:p w14:paraId="18E46060" w14:textId="77777777" w:rsidR="000455F6" w:rsidRPr="00B224B6" w:rsidRDefault="000455F6" w:rsidP="00B224B6">
      <w:pPr>
        <w:spacing w:line="480" w:lineRule="auto"/>
        <w:rPr>
          <w:color w:val="000000"/>
        </w:rPr>
      </w:pPr>
    </w:p>
    <w:p w14:paraId="0C520018" w14:textId="77777777" w:rsidR="00A42F13" w:rsidRPr="00B224B6" w:rsidRDefault="00A42F13" w:rsidP="00B224B6">
      <w:pPr>
        <w:spacing w:line="480" w:lineRule="auto"/>
        <w:jc w:val="center"/>
        <w:rPr>
          <w:color w:val="000000"/>
        </w:rPr>
      </w:pPr>
    </w:p>
    <w:sectPr w:rsidR="00A42F13" w:rsidRPr="00B224B6" w:rsidSect="003F5158">
      <w:headerReference w:type="default" r:id="rId7"/>
      <w:head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F650" w14:textId="77777777" w:rsidR="00BF344D" w:rsidRDefault="00BF344D">
      <w:r>
        <w:separator/>
      </w:r>
    </w:p>
  </w:endnote>
  <w:endnote w:type="continuationSeparator" w:id="0">
    <w:p w14:paraId="370E3AA6" w14:textId="77777777" w:rsidR="00BF344D" w:rsidRDefault="00BF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8000" w14:textId="77777777" w:rsidR="00BF344D" w:rsidRDefault="00BF344D">
      <w:r>
        <w:separator/>
      </w:r>
    </w:p>
  </w:footnote>
  <w:footnote w:type="continuationSeparator" w:id="0">
    <w:p w14:paraId="0A60DB0C" w14:textId="77777777" w:rsidR="00BF344D" w:rsidRDefault="00BF3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3E42AB">
      <w:rPr>
        <w:rStyle w:val="PageNumber"/>
        <w:noProof/>
      </w:rPr>
      <w:t>3</w:t>
    </w:r>
    <w:r>
      <w:rPr>
        <w:rStyle w:val="PageNumber"/>
      </w:rPr>
      <w:fldChar w:fldCharType="end"/>
    </w:r>
  </w:p>
  <w:p w14:paraId="3A9BF68D" w14:textId="31DEA955" w:rsidR="00B32F73" w:rsidRPr="00352E8D" w:rsidRDefault="00F378C4" w:rsidP="003F5158">
    <w:pPr>
      <w:pStyle w:val="Header"/>
      <w:ind w:right="360"/>
      <w:rPr>
        <w:sz w:val="22"/>
        <w:szCs w:val="22"/>
      </w:rPr>
    </w:pPr>
    <w:r>
      <w:t>BUS</w:t>
    </w:r>
    <w:r w:rsidR="00094E0A">
      <w:t>530</w:t>
    </w:r>
    <w:r w:rsidR="00D0108C">
      <w:t xml:space="preserve"> </w:t>
    </w:r>
    <w:r w:rsidR="00352229">
      <w:t>Case</w:t>
    </w:r>
    <w:r w:rsidR="006624AB">
      <w:t xml:space="preserve"> </w:t>
    </w:r>
    <w:r w:rsidR="00AA22CA">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3E42AB">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F0693"/>
    <w:multiLevelType w:val="multilevel"/>
    <w:tmpl w:val="B490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A5246"/>
    <w:multiLevelType w:val="hybridMultilevel"/>
    <w:tmpl w:val="161C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2F2917"/>
    <w:multiLevelType w:val="hybridMultilevel"/>
    <w:tmpl w:val="171E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BB42C8A">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6E76CF"/>
    <w:multiLevelType w:val="hybridMultilevel"/>
    <w:tmpl w:val="6E3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E93625"/>
    <w:multiLevelType w:val="hybridMultilevel"/>
    <w:tmpl w:val="DEC6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87DA7"/>
    <w:multiLevelType w:val="multilevel"/>
    <w:tmpl w:val="8F2E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7"/>
  </w:num>
  <w:num w:numId="4">
    <w:abstractNumId w:val="28"/>
  </w:num>
  <w:num w:numId="5">
    <w:abstractNumId w:val="1"/>
  </w:num>
  <w:num w:numId="6">
    <w:abstractNumId w:val="32"/>
  </w:num>
  <w:num w:numId="7">
    <w:abstractNumId w:val="29"/>
  </w:num>
  <w:num w:numId="8">
    <w:abstractNumId w:val="13"/>
  </w:num>
  <w:num w:numId="9">
    <w:abstractNumId w:val="2"/>
  </w:num>
  <w:num w:numId="10">
    <w:abstractNumId w:val="21"/>
  </w:num>
  <w:num w:numId="11">
    <w:abstractNumId w:val="5"/>
  </w:num>
  <w:num w:numId="12">
    <w:abstractNumId w:val="30"/>
  </w:num>
  <w:num w:numId="13">
    <w:abstractNumId w:val="31"/>
  </w:num>
  <w:num w:numId="14">
    <w:abstractNumId w:val="26"/>
  </w:num>
  <w:num w:numId="15">
    <w:abstractNumId w:val="35"/>
  </w:num>
  <w:num w:numId="16">
    <w:abstractNumId w:val="24"/>
  </w:num>
  <w:num w:numId="17">
    <w:abstractNumId w:val="36"/>
  </w:num>
  <w:num w:numId="18">
    <w:abstractNumId w:val="10"/>
  </w:num>
  <w:num w:numId="19">
    <w:abstractNumId w:val="8"/>
  </w:num>
  <w:num w:numId="20">
    <w:abstractNumId w:val="14"/>
  </w:num>
  <w:num w:numId="21">
    <w:abstractNumId w:val="25"/>
  </w:num>
  <w:num w:numId="22">
    <w:abstractNumId w:val="11"/>
  </w:num>
  <w:num w:numId="23">
    <w:abstractNumId w:val="27"/>
  </w:num>
  <w:num w:numId="24">
    <w:abstractNumId w:val="4"/>
  </w:num>
  <w:num w:numId="25">
    <w:abstractNumId w:val="33"/>
  </w:num>
  <w:num w:numId="26">
    <w:abstractNumId w:val="23"/>
  </w:num>
  <w:num w:numId="27">
    <w:abstractNumId w:val="12"/>
  </w:num>
  <w:num w:numId="28">
    <w:abstractNumId w:val="6"/>
  </w:num>
  <w:num w:numId="29">
    <w:abstractNumId w:val="34"/>
  </w:num>
  <w:num w:numId="30">
    <w:abstractNumId w:val="16"/>
  </w:num>
  <w:num w:numId="31">
    <w:abstractNumId w:val="0"/>
  </w:num>
  <w:num w:numId="32">
    <w:abstractNumId w:val="18"/>
  </w:num>
  <w:num w:numId="33">
    <w:abstractNumId w:val="15"/>
  </w:num>
  <w:num w:numId="34">
    <w:abstractNumId w:val="7"/>
  </w:num>
  <w:num w:numId="35">
    <w:abstractNumId w:val="20"/>
  </w:num>
  <w:num w:numId="36">
    <w:abstractNumId w:val="2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0MzYztzC3MDE0MDFR0lEKTi0uzszPAykwMqsFAB71kI8tAAAA"/>
  </w:docVars>
  <w:rsids>
    <w:rsidRoot w:val="0050433C"/>
    <w:rsid w:val="00026142"/>
    <w:rsid w:val="0003472F"/>
    <w:rsid w:val="000455F6"/>
    <w:rsid w:val="00047143"/>
    <w:rsid w:val="000511FA"/>
    <w:rsid w:val="0006074E"/>
    <w:rsid w:val="00081629"/>
    <w:rsid w:val="00085C7F"/>
    <w:rsid w:val="00094E0A"/>
    <w:rsid w:val="000A198A"/>
    <w:rsid w:val="000A39A9"/>
    <w:rsid w:val="000B008D"/>
    <w:rsid w:val="000B6AD6"/>
    <w:rsid w:val="000C144F"/>
    <w:rsid w:val="000C1741"/>
    <w:rsid w:val="000C6AD9"/>
    <w:rsid w:val="000E0F36"/>
    <w:rsid w:val="000F1641"/>
    <w:rsid w:val="00106FDE"/>
    <w:rsid w:val="001147C1"/>
    <w:rsid w:val="00131A1B"/>
    <w:rsid w:val="001377D4"/>
    <w:rsid w:val="00147909"/>
    <w:rsid w:val="00150EEF"/>
    <w:rsid w:val="00154F49"/>
    <w:rsid w:val="00163836"/>
    <w:rsid w:val="00167D67"/>
    <w:rsid w:val="001758DE"/>
    <w:rsid w:val="00182003"/>
    <w:rsid w:val="00184530"/>
    <w:rsid w:val="001A55A9"/>
    <w:rsid w:val="001C0806"/>
    <w:rsid w:val="001D090F"/>
    <w:rsid w:val="001D1CD9"/>
    <w:rsid w:val="001F2A99"/>
    <w:rsid w:val="001F40F3"/>
    <w:rsid w:val="0020174B"/>
    <w:rsid w:val="0020241D"/>
    <w:rsid w:val="00211094"/>
    <w:rsid w:val="0021351E"/>
    <w:rsid w:val="00220BAD"/>
    <w:rsid w:val="002439C9"/>
    <w:rsid w:val="00253713"/>
    <w:rsid w:val="00256256"/>
    <w:rsid w:val="00286395"/>
    <w:rsid w:val="002A2C9F"/>
    <w:rsid w:val="002B6BFA"/>
    <w:rsid w:val="002C00BE"/>
    <w:rsid w:val="002C7462"/>
    <w:rsid w:val="002D755D"/>
    <w:rsid w:val="002E6180"/>
    <w:rsid w:val="002F7DEF"/>
    <w:rsid w:val="00312827"/>
    <w:rsid w:val="00352229"/>
    <w:rsid w:val="00352E8D"/>
    <w:rsid w:val="00354C36"/>
    <w:rsid w:val="00356E85"/>
    <w:rsid w:val="00361978"/>
    <w:rsid w:val="00364C68"/>
    <w:rsid w:val="003A0026"/>
    <w:rsid w:val="003A1801"/>
    <w:rsid w:val="003B1606"/>
    <w:rsid w:val="003C7F15"/>
    <w:rsid w:val="003D6821"/>
    <w:rsid w:val="003E42AB"/>
    <w:rsid w:val="003E5F3A"/>
    <w:rsid w:val="003F2F65"/>
    <w:rsid w:val="003F3719"/>
    <w:rsid w:val="003F5158"/>
    <w:rsid w:val="003F62B7"/>
    <w:rsid w:val="00403444"/>
    <w:rsid w:val="00403583"/>
    <w:rsid w:val="00415754"/>
    <w:rsid w:val="00420274"/>
    <w:rsid w:val="00422016"/>
    <w:rsid w:val="00425A9A"/>
    <w:rsid w:val="00430195"/>
    <w:rsid w:val="00436393"/>
    <w:rsid w:val="00440095"/>
    <w:rsid w:val="0044112E"/>
    <w:rsid w:val="004525E8"/>
    <w:rsid w:val="00454CAF"/>
    <w:rsid w:val="00456686"/>
    <w:rsid w:val="004578EE"/>
    <w:rsid w:val="004604B1"/>
    <w:rsid w:val="00460E2A"/>
    <w:rsid w:val="00466700"/>
    <w:rsid w:val="004853C2"/>
    <w:rsid w:val="00492DCE"/>
    <w:rsid w:val="0049530B"/>
    <w:rsid w:val="004A3C8E"/>
    <w:rsid w:val="004C1298"/>
    <w:rsid w:val="004D706D"/>
    <w:rsid w:val="00502A2F"/>
    <w:rsid w:val="005040FF"/>
    <w:rsid w:val="0050433C"/>
    <w:rsid w:val="0050489F"/>
    <w:rsid w:val="00522766"/>
    <w:rsid w:val="00530A67"/>
    <w:rsid w:val="0053493C"/>
    <w:rsid w:val="005412E4"/>
    <w:rsid w:val="0055467F"/>
    <w:rsid w:val="00561A56"/>
    <w:rsid w:val="00565081"/>
    <w:rsid w:val="0057635E"/>
    <w:rsid w:val="00581CE2"/>
    <w:rsid w:val="00595B65"/>
    <w:rsid w:val="005A7F86"/>
    <w:rsid w:val="005E5214"/>
    <w:rsid w:val="005E5984"/>
    <w:rsid w:val="005F3678"/>
    <w:rsid w:val="005F75ED"/>
    <w:rsid w:val="0060394A"/>
    <w:rsid w:val="006124DB"/>
    <w:rsid w:val="00614C45"/>
    <w:rsid w:val="00625523"/>
    <w:rsid w:val="006416F4"/>
    <w:rsid w:val="006431F1"/>
    <w:rsid w:val="00660724"/>
    <w:rsid w:val="006624AB"/>
    <w:rsid w:val="00672D33"/>
    <w:rsid w:val="006730B0"/>
    <w:rsid w:val="00674A8C"/>
    <w:rsid w:val="006A5C5E"/>
    <w:rsid w:val="006B25B5"/>
    <w:rsid w:val="006D5362"/>
    <w:rsid w:val="006E1EF5"/>
    <w:rsid w:val="006F527A"/>
    <w:rsid w:val="0070200D"/>
    <w:rsid w:val="00711DC4"/>
    <w:rsid w:val="00736A12"/>
    <w:rsid w:val="007572B6"/>
    <w:rsid w:val="007A1B1F"/>
    <w:rsid w:val="007D1376"/>
    <w:rsid w:val="007F79BB"/>
    <w:rsid w:val="008026AA"/>
    <w:rsid w:val="0081017D"/>
    <w:rsid w:val="00824636"/>
    <w:rsid w:val="008255DE"/>
    <w:rsid w:val="00841A9E"/>
    <w:rsid w:val="00841F4A"/>
    <w:rsid w:val="00844EE7"/>
    <w:rsid w:val="00854C46"/>
    <w:rsid w:val="00871DCA"/>
    <w:rsid w:val="00873554"/>
    <w:rsid w:val="00880C08"/>
    <w:rsid w:val="00883AAD"/>
    <w:rsid w:val="00896609"/>
    <w:rsid w:val="008B7F59"/>
    <w:rsid w:val="008C7966"/>
    <w:rsid w:val="008D23AA"/>
    <w:rsid w:val="008D3F0D"/>
    <w:rsid w:val="008D5C02"/>
    <w:rsid w:val="008E469D"/>
    <w:rsid w:val="008F74C4"/>
    <w:rsid w:val="009007D4"/>
    <w:rsid w:val="0091254D"/>
    <w:rsid w:val="00954A41"/>
    <w:rsid w:val="00960B22"/>
    <w:rsid w:val="009749F9"/>
    <w:rsid w:val="00977C3F"/>
    <w:rsid w:val="00990C99"/>
    <w:rsid w:val="00991A50"/>
    <w:rsid w:val="009A3DEA"/>
    <w:rsid w:val="009B60BA"/>
    <w:rsid w:val="009B6C8F"/>
    <w:rsid w:val="009C36FD"/>
    <w:rsid w:val="009C743D"/>
    <w:rsid w:val="009D375B"/>
    <w:rsid w:val="009D378A"/>
    <w:rsid w:val="00A00D2C"/>
    <w:rsid w:val="00A037C7"/>
    <w:rsid w:val="00A13576"/>
    <w:rsid w:val="00A1437D"/>
    <w:rsid w:val="00A225DF"/>
    <w:rsid w:val="00A27F42"/>
    <w:rsid w:val="00A30D14"/>
    <w:rsid w:val="00A37498"/>
    <w:rsid w:val="00A426A5"/>
    <w:rsid w:val="00A42F13"/>
    <w:rsid w:val="00A4532E"/>
    <w:rsid w:val="00A6361F"/>
    <w:rsid w:val="00A725AF"/>
    <w:rsid w:val="00A75CFC"/>
    <w:rsid w:val="00A83CE1"/>
    <w:rsid w:val="00A85E1C"/>
    <w:rsid w:val="00A90A9E"/>
    <w:rsid w:val="00A93CC1"/>
    <w:rsid w:val="00A95E3A"/>
    <w:rsid w:val="00AA22CA"/>
    <w:rsid w:val="00AA3F20"/>
    <w:rsid w:val="00AD4FAC"/>
    <w:rsid w:val="00AE1D46"/>
    <w:rsid w:val="00AE3507"/>
    <w:rsid w:val="00B02092"/>
    <w:rsid w:val="00B02A05"/>
    <w:rsid w:val="00B02DD7"/>
    <w:rsid w:val="00B042E8"/>
    <w:rsid w:val="00B068A8"/>
    <w:rsid w:val="00B10C07"/>
    <w:rsid w:val="00B224B6"/>
    <w:rsid w:val="00B22E3F"/>
    <w:rsid w:val="00B32F73"/>
    <w:rsid w:val="00B37F5A"/>
    <w:rsid w:val="00B4235C"/>
    <w:rsid w:val="00B46D48"/>
    <w:rsid w:val="00B6023E"/>
    <w:rsid w:val="00B6034C"/>
    <w:rsid w:val="00B62A78"/>
    <w:rsid w:val="00B742AF"/>
    <w:rsid w:val="00B80515"/>
    <w:rsid w:val="00B8112C"/>
    <w:rsid w:val="00B93D96"/>
    <w:rsid w:val="00BD1C8D"/>
    <w:rsid w:val="00BD3733"/>
    <w:rsid w:val="00BD6FF4"/>
    <w:rsid w:val="00BE410C"/>
    <w:rsid w:val="00BF344D"/>
    <w:rsid w:val="00BF7C6E"/>
    <w:rsid w:val="00C16DDC"/>
    <w:rsid w:val="00C21C1C"/>
    <w:rsid w:val="00C22265"/>
    <w:rsid w:val="00C277CE"/>
    <w:rsid w:val="00C31727"/>
    <w:rsid w:val="00C51C2A"/>
    <w:rsid w:val="00C5533D"/>
    <w:rsid w:val="00C74F8E"/>
    <w:rsid w:val="00C769CD"/>
    <w:rsid w:val="00C863E2"/>
    <w:rsid w:val="00C9472F"/>
    <w:rsid w:val="00CA791D"/>
    <w:rsid w:val="00CB7B12"/>
    <w:rsid w:val="00CC057E"/>
    <w:rsid w:val="00CC3628"/>
    <w:rsid w:val="00CD2528"/>
    <w:rsid w:val="00CE2E66"/>
    <w:rsid w:val="00CF070A"/>
    <w:rsid w:val="00CF6843"/>
    <w:rsid w:val="00D0108C"/>
    <w:rsid w:val="00D13AC0"/>
    <w:rsid w:val="00D172FE"/>
    <w:rsid w:val="00D200BF"/>
    <w:rsid w:val="00D47CA9"/>
    <w:rsid w:val="00D57D30"/>
    <w:rsid w:val="00D65771"/>
    <w:rsid w:val="00D7332A"/>
    <w:rsid w:val="00D82F74"/>
    <w:rsid w:val="00D87258"/>
    <w:rsid w:val="00D96DDF"/>
    <w:rsid w:val="00DA07CA"/>
    <w:rsid w:val="00DB099B"/>
    <w:rsid w:val="00DB7248"/>
    <w:rsid w:val="00DD0C4D"/>
    <w:rsid w:val="00DE1A4A"/>
    <w:rsid w:val="00DE3706"/>
    <w:rsid w:val="00DE5909"/>
    <w:rsid w:val="00DE7652"/>
    <w:rsid w:val="00DF42B8"/>
    <w:rsid w:val="00DF5ED9"/>
    <w:rsid w:val="00E026E0"/>
    <w:rsid w:val="00E02D60"/>
    <w:rsid w:val="00E046B3"/>
    <w:rsid w:val="00E062B8"/>
    <w:rsid w:val="00E347E9"/>
    <w:rsid w:val="00E40301"/>
    <w:rsid w:val="00E4493B"/>
    <w:rsid w:val="00E45724"/>
    <w:rsid w:val="00E45886"/>
    <w:rsid w:val="00E5427F"/>
    <w:rsid w:val="00E63F35"/>
    <w:rsid w:val="00E642BD"/>
    <w:rsid w:val="00E64AD3"/>
    <w:rsid w:val="00E75E4F"/>
    <w:rsid w:val="00E80CFF"/>
    <w:rsid w:val="00E90FDB"/>
    <w:rsid w:val="00E940DC"/>
    <w:rsid w:val="00EB211C"/>
    <w:rsid w:val="00EC03B6"/>
    <w:rsid w:val="00ED47C2"/>
    <w:rsid w:val="00EF08C1"/>
    <w:rsid w:val="00EF1CB2"/>
    <w:rsid w:val="00EF57CD"/>
    <w:rsid w:val="00F20699"/>
    <w:rsid w:val="00F21C59"/>
    <w:rsid w:val="00F257CE"/>
    <w:rsid w:val="00F378C4"/>
    <w:rsid w:val="00F43BA1"/>
    <w:rsid w:val="00F468D1"/>
    <w:rsid w:val="00F62922"/>
    <w:rsid w:val="00F64DDA"/>
    <w:rsid w:val="00F7461E"/>
    <w:rsid w:val="00F764B7"/>
    <w:rsid w:val="00F84528"/>
    <w:rsid w:val="00F8489A"/>
    <w:rsid w:val="00F84D66"/>
    <w:rsid w:val="00F93AF8"/>
    <w:rsid w:val="00F96D0F"/>
    <w:rsid w:val="00F96D5C"/>
    <w:rsid w:val="00FA5A4C"/>
    <w:rsid w:val="00FA7A69"/>
    <w:rsid w:val="00FC3440"/>
    <w:rsid w:val="00FD1EEE"/>
    <w:rsid w:val="00FD39FA"/>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785083453">
      <w:bodyDiv w:val="1"/>
      <w:marLeft w:val="0"/>
      <w:marRight w:val="0"/>
      <w:marTop w:val="0"/>
      <w:marBottom w:val="0"/>
      <w:divBdr>
        <w:top w:val="none" w:sz="0" w:space="0" w:color="auto"/>
        <w:left w:val="none" w:sz="0" w:space="0" w:color="auto"/>
        <w:bottom w:val="none" w:sz="0" w:space="0" w:color="auto"/>
        <w:right w:val="none" w:sz="0" w:space="0" w:color="auto"/>
      </w:divBdr>
    </w:div>
    <w:div w:id="822509469">
      <w:bodyDiv w:val="1"/>
      <w:marLeft w:val="0"/>
      <w:marRight w:val="0"/>
      <w:marTop w:val="0"/>
      <w:marBottom w:val="0"/>
      <w:divBdr>
        <w:top w:val="none" w:sz="0" w:space="0" w:color="auto"/>
        <w:left w:val="none" w:sz="0" w:space="0" w:color="auto"/>
        <w:bottom w:val="none" w:sz="0" w:space="0" w:color="auto"/>
        <w:right w:val="none" w:sz="0" w:space="0" w:color="auto"/>
      </w:divBdr>
    </w:div>
    <w:div w:id="1037511422">
      <w:bodyDiv w:val="1"/>
      <w:marLeft w:val="0"/>
      <w:marRight w:val="0"/>
      <w:marTop w:val="0"/>
      <w:marBottom w:val="0"/>
      <w:divBdr>
        <w:top w:val="none" w:sz="0" w:space="0" w:color="auto"/>
        <w:left w:val="none" w:sz="0" w:space="0" w:color="auto"/>
        <w:bottom w:val="none" w:sz="0" w:space="0" w:color="auto"/>
        <w:right w:val="none" w:sz="0" w:space="0" w:color="auto"/>
      </w:divBdr>
    </w:div>
    <w:div w:id="1333029411">
      <w:bodyDiv w:val="1"/>
      <w:marLeft w:val="0"/>
      <w:marRight w:val="0"/>
      <w:marTop w:val="0"/>
      <w:marBottom w:val="0"/>
      <w:divBdr>
        <w:top w:val="none" w:sz="0" w:space="0" w:color="auto"/>
        <w:left w:val="none" w:sz="0" w:space="0" w:color="auto"/>
        <w:bottom w:val="none" w:sz="0" w:space="0" w:color="auto"/>
        <w:right w:val="none" w:sz="0" w:space="0" w:color="auto"/>
      </w:divBdr>
      <w:divsChild>
        <w:div w:id="471482171">
          <w:marLeft w:val="0"/>
          <w:marRight w:val="0"/>
          <w:marTop w:val="0"/>
          <w:marBottom w:val="0"/>
          <w:divBdr>
            <w:top w:val="none" w:sz="0" w:space="0" w:color="auto"/>
            <w:left w:val="none" w:sz="0" w:space="0" w:color="auto"/>
            <w:bottom w:val="none" w:sz="0" w:space="0" w:color="auto"/>
            <w:right w:val="none" w:sz="0" w:space="0" w:color="auto"/>
          </w:divBdr>
          <w:divsChild>
            <w:div w:id="487064704">
              <w:marLeft w:val="0"/>
              <w:marRight w:val="0"/>
              <w:marTop w:val="0"/>
              <w:marBottom w:val="0"/>
              <w:divBdr>
                <w:top w:val="none" w:sz="0" w:space="0" w:color="auto"/>
                <w:left w:val="none" w:sz="0" w:space="0" w:color="auto"/>
                <w:bottom w:val="none" w:sz="0" w:space="0" w:color="auto"/>
                <w:right w:val="none" w:sz="0" w:space="0" w:color="auto"/>
              </w:divBdr>
              <w:divsChild>
                <w:div w:id="284971021">
                  <w:marLeft w:val="0"/>
                  <w:marRight w:val="0"/>
                  <w:marTop w:val="0"/>
                  <w:marBottom w:val="0"/>
                  <w:divBdr>
                    <w:top w:val="none" w:sz="0" w:space="0" w:color="auto"/>
                    <w:left w:val="none" w:sz="0" w:space="0" w:color="auto"/>
                    <w:bottom w:val="none" w:sz="0" w:space="0" w:color="auto"/>
                    <w:right w:val="none" w:sz="0" w:space="0" w:color="auto"/>
                  </w:divBdr>
                  <w:divsChild>
                    <w:div w:id="133956335">
                      <w:marLeft w:val="0"/>
                      <w:marRight w:val="0"/>
                      <w:marTop w:val="0"/>
                      <w:marBottom w:val="0"/>
                      <w:divBdr>
                        <w:top w:val="none" w:sz="0" w:space="0" w:color="auto"/>
                        <w:left w:val="none" w:sz="0" w:space="0" w:color="auto"/>
                        <w:bottom w:val="none" w:sz="0" w:space="0" w:color="auto"/>
                        <w:right w:val="none" w:sz="0" w:space="0" w:color="auto"/>
                      </w:divBdr>
                      <w:divsChild>
                        <w:div w:id="1862160249">
                          <w:marLeft w:val="0"/>
                          <w:marRight w:val="0"/>
                          <w:marTop w:val="0"/>
                          <w:marBottom w:val="0"/>
                          <w:divBdr>
                            <w:top w:val="none" w:sz="0" w:space="0" w:color="auto"/>
                            <w:left w:val="none" w:sz="0" w:space="0" w:color="auto"/>
                            <w:bottom w:val="none" w:sz="0" w:space="0" w:color="auto"/>
                            <w:right w:val="none" w:sz="0" w:space="0" w:color="auto"/>
                          </w:divBdr>
                          <w:divsChild>
                            <w:div w:id="1742631627">
                              <w:marLeft w:val="0"/>
                              <w:marRight w:val="0"/>
                              <w:marTop w:val="0"/>
                              <w:marBottom w:val="0"/>
                              <w:divBdr>
                                <w:top w:val="none" w:sz="0" w:space="0" w:color="auto"/>
                                <w:left w:val="none" w:sz="0" w:space="0" w:color="auto"/>
                                <w:bottom w:val="none" w:sz="0" w:space="0" w:color="auto"/>
                                <w:right w:val="none" w:sz="0" w:space="0" w:color="auto"/>
                              </w:divBdr>
                              <w:divsChild>
                                <w:div w:id="1978336673">
                                  <w:marLeft w:val="0"/>
                                  <w:marRight w:val="0"/>
                                  <w:marTop w:val="0"/>
                                  <w:marBottom w:val="0"/>
                                  <w:divBdr>
                                    <w:top w:val="none" w:sz="0" w:space="0" w:color="auto"/>
                                    <w:left w:val="none" w:sz="0" w:space="0" w:color="auto"/>
                                    <w:bottom w:val="none" w:sz="0" w:space="0" w:color="auto"/>
                                    <w:right w:val="none" w:sz="0" w:space="0" w:color="auto"/>
                                  </w:divBdr>
                                  <w:divsChild>
                                    <w:div w:id="10425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664150">
                          <w:marLeft w:val="0"/>
                          <w:marRight w:val="0"/>
                          <w:marTop w:val="0"/>
                          <w:marBottom w:val="0"/>
                          <w:divBdr>
                            <w:top w:val="none" w:sz="0" w:space="0" w:color="auto"/>
                            <w:left w:val="none" w:sz="0" w:space="0" w:color="auto"/>
                            <w:bottom w:val="none" w:sz="0" w:space="0" w:color="auto"/>
                            <w:right w:val="none" w:sz="0" w:space="0" w:color="auto"/>
                          </w:divBdr>
                          <w:divsChild>
                            <w:div w:id="1124077439">
                              <w:marLeft w:val="0"/>
                              <w:marRight w:val="0"/>
                              <w:marTop w:val="0"/>
                              <w:marBottom w:val="0"/>
                              <w:divBdr>
                                <w:top w:val="none" w:sz="0" w:space="0" w:color="auto"/>
                                <w:left w:val="none" w:sz="0" w:space="0" w:color="auto"/>
                                <w:bottom w:val="none" w:sz="0" w:space="0" w:color="auto"/>
                                <w:right w:val="none" w:sz="0" w:space="0" w:color="auto"/>
                              </w:divBdr>
                              <w:divsChild>
                                <w:div w:id="20057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584803561">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624341308">
      <w:bodyDiv w:val="1"/>
      <w:marLeft w:val="0"/>
      <w:marRight w:val="0"/>
      <w:marTop w:val="0"/>
      <w:marBottom w:val="0"/>
      <w:divBdr>
        <w:top w:val="none" w:sz="0" w:space="0" w:color="auto"/>
        <w:left w:val="none" w:sz="0" w:space="0" w:color="auto"/>
        <w:bottom w:val="none" w:sz="0" w:space="0" w:color="auto"/>
        <w:right w:val="none" w:sz="0" w:space="0" w:color="auto"/>
      </w:divBdr>
    </w:div>
    <w:div w:id="1665744946">
      <w:bodyDiv w:val="1"/>
      <w:marLeft w:val="0"/>
      <w:marRight w:val="0"/>
      <w:marTop w:val="0"/>
      <w:marBottom w:val="0"/>
      <w:divBdr>
        <w:top w:val="none" w:sz="0" w:space="0" w:color="auto"/>
        <w:left w:val="none" w:sz="0" w:space="0" w:color="auto"/>
        <w:bottom w:val="none" w:sz="0" w:space="0" w:color="auto"/>
        <w:right w:val="none" w:sz="0" w:space="0" w:color="auto"/>
      </w:divBdr>
    </w:div>
    <w:div w:id="1803571920">
      <w:bodyDiv w:val="1"/>
      <w:marLeft w:val="0"/>
      <w:marRight w:val="0"/>
      <w:marTop w:val="0"/>
      <w:marBottom w:val="0"/>
      <w:divBdr>
        <w:top w:val="none" w:sz="0" w:space="0" w:color="auto"/>
        <w:left w:val="none" w:sz="0" w:space="0" w:color="auto"/>
        <w:bottom w:val="none" w:sz="0" w:space="0" w:color="auto"/>
        <w:right w:val="none" w:sz="0" w:space="0" w:color="auto"/>
      </w:divBdr>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2021-06-29T13:29:00Z</dcterms:created>
  <dcterms:modified xsi:type="dcterms:W3CDTF">2025-05-21T10:41:00Z</dcterms:modified>
</cp:coreProperties>
</file>