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DCD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16163B59"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094E0A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3B1606">
        <w:rPr>
          <w:b/>
          <w:bCs/>
        </w:rPr>
        <w:t>3</w:t>
      </w:r>
    </w:p>
    <w:p w14:paraId="215330E4" w14:textId="77777777" w:rsidR="00286395" w:rsidRPr="00B224B6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Default="00454CAF" w:rsidP="00F378C4">
      <w:pPr>
        <w:spacing w:line="480" w:lineRule="auto"/>
        <w:jc w:val="center"/>
      </w:pPr>
      <w:r>
        <w:t>Your Name</w:t>
      </w:r>
    </w:p>
    <w:p w14:paraId="02750D95" w14:textId="77777777"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14:paraId="3002A249" w14:textId="6214602D" w:rsidR="002C7462" w:rsidRDefault="002C7462" w:rsidP="00F378C4">
      <w:pPr>
        <w:spacing w:line="480" w:lineRule="auto"/>
        <w:jc w:val="center"/>
      </w:pPr>
      <w:r w:rsidRPr="002C7462">
        <w:t>BUS</w:t>
      </w:r>
      <w:r w:rsidR="00094E0A">
        <w:t>530</w:t>
      </w:r>
      <w:r w:rsidRPr="002C7462">
        <w:t xml:space="preserve"> </w:t>
      </w:r>
      <w:r w:rsidR="00094E0A">
        <w:t>Managerial Economics</w:t>
      </w:r>
    </w:p>
    <w:p w14:paraId="54C389E1" w14:textId="7A086B20" w:rsidR="00844EE7" w:rsidRPr="00B224B6" w:rsidRDefault="00454CAF" w:rsidP="00F378C4">
      <w:pPr>
        <w:spacing w:line="480" w:lineRule="auto"/>
        <w:jc w:val="center"/>
      </w:pPr>
      <w:r>
        <w:t>Due Date</w:t>
      </w:r>
    </w:p>
    <w:p w14:paraId="6C8D5EF8" w14:textId="56D46919"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14:paraId="1DF862F2" w14:textId="39245D2C" w:rsidR="00D200BF" w:rsidRPr="00B224B6" w:rsidRDefault="00F378C4" w:rsidP="00B224B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BUS</w:t>
      </w:r>
      <w:r w:rsidR="00094E0A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3B1606">
        <w:rPr>
          <w:b/>
          <w:bCs/>
        </w:rPr>
        <w:t>3</w:t>
      </w:r>
    </w:p>
    <w:p w14:paraId="77B46FDA" w14:textId="7641BB61" w:rsidR="008F0F1C" w:rsidRDefault="007A65CB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Introduction </w:t>
      </w:r>
    </w:p>
    <w:p w14:paraId="6F955F01" w14:textId="1F15A028" w:rsidR="007A65CB" w:rsidRPr="007A65CB" w:rsidRDefault="007A65CB" w:rsidP="007A65CB">
      <w:pPr>
        <w:spacing w:line="480" w:lineRule="auto"/>
        <w:rPr>
          <w:rFonts w:eastAsia="Calibri"/>
        </w:rPr>
      </w:pPr>
      <w:r w:rsidRPr="007A65CB">
        <w:rPr>
          <w:rFonts w:eastAsia="Calibri"/>
        </w:rPr>
        <w:tab/>
      </w:r>
      <w:r w:rsidR="000626C7">
        <w:rPr>
          <w:rFonts w:eastAsia="Calibri"/>
        </w:rPr>
        <w:t>The report tends to deal with the m</w:t>
      </w:r>
      <w:r w:rsidRPr="007A65CB">
        <w:rPr>
          <w:rFonts w:eastAsia="Calibri"/>
        </w:rPr>
        <w:t xml:space="preserve">arket structures </w:t>
      </w:r>
      <w:r w:rsidR="000626C7">
        <w:rPr>
          <w:rFonts w:eastAsia="Calibri"/>
        </w:rPr>
        <w:t xml:space="preserve">which ultimately </w:t>
      </w:r>
      <w:r w:rsidRPr="007A65CB">
        <w:rPr>
          <w:rFonts w:eastAsia="Calibri"/>
        </w:rPr>
        <w:t xml:space="preserve">play a critical role in shaping the economic landscape of a country, influencing pricing, competition, and consumer choices. In </w:t>
      </w:r>
      <w:r w:rsidR="000626C7">
        <w:rPr>
          <w:rFonts w:eastAsia="Calibri"/>
        </w:rPr>
        <w:t xml:space="preserve">accordance with </w:t>
      </w:r>
      <w:r w:rsidRPr="007A65CB">
        <w:rPr>
          <w:rFonts w:eastAsia="Calibri"/>
        </w:rPr>
        <w:t>Zimbabwe, various market structures such as monopolies, oligopolies, and competitive markets coexist, each contributing uniquely to the nation’s economic stability and growth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(Chipumho, 2011)</w:t>
      </w:r>
      <w:r w:rsidRPr="007A65CB">
        <w:rPr>
          <w:rFonts w:eastAsia="Calibri"/>
        </w:rPr>
        <w:t xml:space="preserve">. </w:t>
      </w:r>
      <w:r w:rsidR="000626C7">
        <w:rPr>
          <w:rFonts w:eastAsia="Calibri"/>
        </w:rPr>
        <w:t>So, on the basis of that t</w:t>
      </w:r>
      <w:r w:rsidRPr="007A65CB">
        <w:rPr>
          <w:rFonts w:eastAsia="Calibri"/>
        </w:rPr>
        <w:t>his paper examines these market structures within the context of Zimbabwe, highlighting their economic implications and strategic importance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(Mpondi, 2018)</w:t>
      </w:r>
      <w:r w:rsidRPr="007A65CB">
        <w:rPr>
          <w:rFonts w:eastAsia="Calibri"/>
        </w:rPr>
        <w:t>.</w:t>
      </w:r>
    </w:p>
    <w:p w14:paraId="1F18C3DB" w14:textId="7C16B1F2" w:rsidR="00E5427F" w:rsidRDefault="002166B6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Monopoly </w:t>
      </w:r>
    </w:p>
    <w:p w14:paraId="3ADA5B14" w14:textId="7552FA8E" w:rsidR="007A65CB" w:rsidRPr="007A65CB" w:rsidRDefault="007A65CB" w:rsidP="007A65CB">
      <w:pPr>
        <w:spacing w:line="480" w:lineRule="auto"/>
        <w:rPr>
          <w:rFonts w:eastAsia="Calibri"/>
        </w:rPr>
      </w:pPr>
      <w:r>
        <w:rPr>
          <w:rFonts w:eastAsia="Calibri"/>
          <w:b/>
          <w:bCs/>
        </w:rPr>
        <w:tab/>
      </w:r>
      <w:r w:rsidRPr="007A65CB">
        <w:rPr>
          <w:rFonts w:eastAsia="Calibri"/>
        </w:rPr>
        <w:t xml:space="preserve">In </w:t>
      </w:r>
      <w:r w:rsidR="000626C7">
        <w:rPr>
          <w:rFonts w:eastAsia="Calibri"/>
        </w:rPr>
        <w:t>accordance with Zimbabwe</w:t>
      </w:r>
      <w:r w:rsidRPr="007A65CB">
        <w:rPr>
          <w:rFonts w:eastAsia="Calibri"/>
        </w:rPr>
        <w:t xml:space="preserve">, the Zimbabwe Electricity Supply Authority (ZESA) exemplifies a monopolistic market structure within the electricity sector. </w:t>
      </w:r>
      <w:r w:rsidR="000626C7">
        <w:rPr>
          <w:rFonts w:eastAsia="Calibri"/>
        </w:rPr>
        <w:t>It is evident from the various studies that it tends to be e</w:t>
      </w:r>
      <w:r w:rsidRPr="007A65CB">
        <w:rPr>
          <w:rFonts w:eastAsia="Calibri"/>
        </w:rPr>
        <w:t xml:space="preserve">stablished under the Electricity Act of 1985, ZESA is a state-owned enterprise responsible for the generation, transmission, and distribution of electricity across the </w:t>
      </w:r>
      <w:r w:rsidRPr="007A65CB">
        <w:rPr>
          <w:rFonts w:eastAsia="Calibri"/>
        </w:rPr>
        <w:t>country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(Mpondi, 2018)</w:t>
      </w:r>
      <w:r w:rsidRPr="007A65CB">
        <w:rPr>
          <w:rFonts w:eastAsia="Calibri"/>
        </w:rPr>
        <w:t>.</w:t>
      </w:r>
      <w:r w:rsidRPr="007A65CB">
        <w:rPr>
          <w:rFonts w:eastAsia="Calibri"/>
        </w:rPr>
        <w:t xml:space="preserve"> It</w:t>
      </w:r>
      <w:r w:rsidR="000626C7">
        <w:rPr>
          <w:rFonts w:eastAsia="Calibri"/>
        </w:rPr>
        <w:t xml:space="preserve"> tends to be based on </w:t>
      </w:r>
      <w:r w:rsidRPr="007A65CB">
        <w:rPr>
          <w:rFonts w:eastAsia="Calibri"/>
        </w:rPr>
        <w:t>vertically integrated structure, encompassing subsidiaries like the Zimbabwe Power Company (ZPC) and the Zimbabwe Electricity Transmission and Distribution Company (ZETDC), consolidates its control over the entire electricity supply chain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(Nyandoro &amp; Andersson, 2025)</w:t>
      </w:r>
      <w:r w:rsidRPr="007A65CB">
        <w:rPr>
          <w:rFonts w:eastAsia="Calibri"/>
        </w:rPr>
        <w:t>.</w:t>
      </w:r>
      <w:r w:rsidRPr="007A65CB">
        <w:rPr>
          <w:rFonts w:eastAsia="Calibri"/>
        </w:rPr>
        <w:t xml:space="preserve"> </w:t>
      </w:r>
    </w:p>
    <w:p w14:paraId="65E4D200" w14:textId="3ACBE59F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>According to ZESA’s</w:t>
      </w:r>
      <w:r w:rsidR="007A65CB" w:rsidRPr="007A65CB">
        <w:rPr>
          <w:rFonts w:eastAsia="Calibri"/>
        </w:rPr>
        <w:t xml:space="preserve"> monopolistic </w:t>
      </w:r>
      <w:r w:rsidRPr="007A65CB">
        <w:rPr>
          <w:rFonts w:eastAsia="Calibri"/>
        </w:rPr>
        <w:t>status,</w:t>
      </w:r>
      <w:r w:rsidR="007A65CB" w:rsidRPr="007A65CB">
        <w:rPr>
          <w:rFonts w:eastAsia="Calibri"/>
        </w:rPr>
        <w:t xml:space="preserve"> </w:t>
      </w:r>
      <w:r>
        <w:rPr>
          <w:rFonts w:eastAsia="Calibri"/>
        </w:rPr>
        <w:t xml:space="preserve">which tends to be </w:t>
      </w:r>
      <w:r w:rsidR="007A65CB" w:rsidRPr="007A65CB">
        <w:rPr>
          <w:rFonts w:eastAsia="Calibri"/>
        </w:rPr>
        <w:t xml:space="preserve">characterized by its exclusive rights to transmit and distribute electricity, effectively eliminating competition in these segments. </w:t>
      </w:r>
      <w:r>
        <w:rPr>
          <w:rFonts w:eastAsia="Calibri"/>
        </w:rPr>
        <w:t xml:space="preserve">It also tends to </w:t>
      </w:r>
      <w:proofErr w:type="gramStart"/>
      <w:r>
        <w:rPr>
          <w:rFonts w:eastAsia="Calibri"/>
        </w:rPr>
        <w:t>analysed</w:t>
      </w:r>
      <w:proofErr w:type="gramEnd"/>
      <w:r>
        <w:rPr>
          <w:rFonts w:eastAsia="Calibri"/>
        </w:rPr>
        <w:t xml:space="preserve"> tha the </w:t>
      </w:r>
      <w:r w:rsidR="007A65CB" w:rsidRPr="007A65CB">
        <w:rPr>
          <w:rFonts w:eastAsia="Calibri"/>
        </w:rPr>
        <w:t xml:space="preserve">independent power producers (IPPs) exist, they are mandated to sell their generated electricity to ZESA, which then manages its </w:t>
      </w:r>
      <w:r w:rsidRPr="007A65CB">
        <w:rPr>
          <w:rFonts w:eastAsia="Calibri"/>
        </w:rPr>
        <w:t>distribution,</w:t>
      </w:r>
      <w:r>
        <w:rPr>
          <w:rFonts w:eastAsia="Calibri"/>
        </w:rPr>
        <w:t xml:space="preserve"> and </w:t>
      </w:r>
      <w:r>
        <w:rPr>
          <w:rFonts w:eastAsia="Calibri"/>
        </w:rPr>
        <w:lastRenderedPageBreak/>
        <w:t>t</w:t>
      </w:r>
      <w:r w:rsidR="007A65CB" w:rsidRPr="007A65CB">
        <w:rPr>
          <w:rFonts w:eastAsia="Calibri"/>
        </w:rPr>
        <w:t>his arrangement restricts direct competition and reinforces ZESA's dominant position in the market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(Nyandoro &amp; Andersson, 2025)</w:t>
      </w:r>
      <w:r w:rsidR="007A65CB" w:rsidRPr="007A65CB">
        <w:rPr>
          <w:rFonts w:eastAsia="Calibri"/>
        </w:rPr>
        <w:t>.</w:t>
      </w:r>
      <w:r w:rsidR="007A65CB" w:rsidRPr="007A65CB">
        <w:rPr>
          <w:rFonts w:eastAsia="Calibri"/>
        </w:rPr>
        <w:t xml:space="preserve"> </w:t>
      </w:r>
    </w:p>
    <w:p w14:paraId="16592BA2" w14:textId="50E07D9D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It is analysed from previous research that the </w:t>
      </w:r>
      <w:r w:rsidR="007A65CB" w:rsidRPr="007A65CB">
        <w:rPr>
          <w:rFonts w:eastAsia="Calibri"/>
        </w:rPr>
        <w:t xml:space="preserve">monopolistic structure was intended to facilitate centralized planning and ensure uniform tariff structures across the nation. </w:t>
      </w:r>
      <w:r>
        <w:rPr>
          <w:rFonts w:eastAsia="Calibri"/>
        </w:rPr>
        <w:t>One of the major examples tends to contain</w:t>
      </w:r>
      <w:r w:rsidR="007A65CB" w:rsidRPr="007A65CB">
        <w:rPr>
          <w:rFonts w:eastAsia="Calibri"/>
        </w:rPr>
        <w:t xml:space="preserve"> centralization aimed to promote equitable access to electricity and enable cross-subsidization between different regions and consumer </w:t>
      </w:r>
      <w:r w:rsidR="007A65CB" w:rsidRPr="007A65CB">
        <w:rPr>
          <w:rFonts w:eastAsia="Calibri"/>
        </w:rPr>
        <w:t>categories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(Chipumho, 2011)</w:t>
      </w:r>
      <w:r w:rsidR="007A65CB" w:rsidRPr="007A65CB">
        <w:rPr>
          <w:rFonts w:eastAsia="Calibri"/>
        </w:rPr>
        <w:t>.</w:t>
      </w:r>
      <w:r w:rsidR="007A65CB" w:rsidRPr="007A65CB">
        <w:rPr>
          <w:rFonts w:eastAsia="Calibri"/>
        </w:rPr>
        <w:t xml:space="preserve"> </w:t>
      </w:r>
      <w:r>
        <w:rPr>
          <w:rFonts w:eastAsia="Calibri"/>
        </w:rPr>
        <w:t>As per the studies</w:t>
      </w:r>
      <w:r w:rsidR="007A65CB" w:rsidRPr="007A65CB">
        <w:rPr>
          <w:rFonts w:eastAsia="Calibri"/>
        </w:rPr>
        <w:t>, this monopoly has faced challenges, including aging infrastructure, inadequate maintenance, and financial constraints, leading to frequent power outages and load shedding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(ACBF, 2006)</w:t>
      </w:r>
      <w:r w:rsidR="007A65CB" w:rsidRPr="007A65CB">
        <w:rPr>
          <w:rFonts w:eastAsia="Calibri"/>
        </w:rPr>
        <w:t>.</w:t>
      </w:r>
      <w:r w:rsidR="007A65CB" w:rsidRPr="007A65CB">
        <w:rPr>
          <w:rFonts w:eastAsia="Calibri"/>
        </w:rPr>
        <w:t xml:space="preserve"> </w:t>
      </w:r>
    </w:p>
    <w:p w14:paraId="75EBB353" w14:textId="75AB382C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Based on the </w:t>
      </w:r>
      <w:r w:rsidR="007A65CB" w:rsidRPr="007A65CB">
        <w:rPr>
          <w:rFonts w:eastAsia="Calibri"/>
        </w:rPr>
        <w:t>monopolistic nature of ZESA has had mixed implications for Zimbabwe</w:t>
      </w:r>
      <w:r>
        <w:rPr>
          <w:rFonts w:eastAsia="Calibri"/>
        </w:rPr>
        <w:t xml:space="preserve"> and on the basis of that it tends to </w:t>
      </w:r>
      <w:r w:rsidRPr="007A65CB">
        <w:rPr>
          <w:rFonts w:eastAsia="Calibri"/>
        </w:rPr>
        <w:t>be allowed</w:t>
      </w:r>
      <w:r w:rsidR="007A65CB" w:rsidRPr="007A65CB">
        <w:rPr>
          <w:rFonts w:eastAsia="Calibri"/>
        </w:rPr>
        <w:t xml:space="preserve"> for coordinated national electrification efforts and standardized service provision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(Mpondi, 2018)</w:t>
      </w:r>
      <w:r w:rsidR="007A65CB" w:rsidRPr="007A65CB">
        <w:rPr>
          <w:rFonts w:eastAsia="Calibri"/>
        </w:rPr>
        <w:t xml:space="preserve">. </w:t>
      </w:r>
      <w:r>
        <w:rPr>
          <w:rFonts w:eastAsia="Calibri"/>
        </w:rPr>
        <w:t xml:space="preserve">In accordance with the </w:t>
      </w:r>
      <w:r w:rsidR="007A65CB" w:rsidRPr="007A65CB">
        <w:rPr>
          <w:rFonts w:eastAsia="Calibri"/>
        </w:rPr>
        <w:t xml:space="preserve">lack of competition has been linked to inefficiencies, limited innovation, and reduced responsiveness to consumer </w:t>
      </w:r>
      <w:r w:rsidR="007A65CB" w:rsidRPr="007A65CB">
        <w:rPr>
          <w:rFonts w:eastAsia="Calibri"/>
        </w:rPr>
        <w:t>needs</w:t>
      </w:r>
      <w:r>
        <w:rPr>
          <w:rFonts w:eastAsia="Calibri"/>
        </w:rPr>
        <w:t xml:space="preserve"> such as t</w:t>
      </w:r>
      <w:r w:rsidR="007A65CB" w:rsidRPr="007A65CB">
        <w:rPr>
          <w:rFonts w:eastAsia="Calibri"/>
        </w:rPr>
        <w:t>hese issues have prompted discussions on the potential benefits of introducing competitive dynamics into the electricity sector to enhance service delivery and operational efficiency.</w:t>
      </w:r>
    </w:p>
    <w:p w14:paraId="75808D16" w14:textId="6E4B704F" w:rsidR="007A65CB" w:rsidRPr="00454CAF" w:rsidRDefault="007A65CB" w:rsidP="007A65CB">
      <w:pPr>
        <w:spacing w:line="480" w:lineRule="auto"/>
        <w:rPr>
          <w:rFonts w:eastAsia="Calibri"/>
          <w:b/>
          <w:bCs/>
        </w:rPr>
      </w:pPr>
    </w:p>
    <w:p w14:paraId="07CF719F" w14:textId="3C212A83" w:rsidR="002166B6" w:rsidRDefault="002166B6" w:rsidP="002166B6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Oligopoly </w:t>
      </w:r>
    </w:p>
    <w:p w14:paraId="00FDA28E" w14:textId="2CAD5A77" w:rsidR="007A65CB" w:rsidRPr="007A65CB" w:rsidRDefault="007A65CB" w:rsidP="007A65CB">
      <w:pPr>
        <w:spacing w:line="480" w:lineRule="auto"/>
        <w:rPr>
          <w:rFonts w:eastAsia="Calibri"/>
        </w:rPr>
      </w:pPr>
      <w:r>
        <w:rPr>
          <w:rFonts w:eastAsia="Calibri"/>
          <w:b/>
          <w:bCs/>
        </w:rPr>
        <w:tab/>
      </w:r>
      <w:r w:rsidR="000626C7">
        <w:rPr>
          <w:rFonts w:eastAsia="Calibri"/>
        </w:rPr>
        <w:t xml:space="preserve">It is analysed by recent research that the </w:t>
      </w:r>
      <w:r w:rsidRPr="007A65CB">
        <w:rPr>
          <w:rFonts w:eastAsia="Calibri"/>
        </w:rPr>
        <w:t xml:space="preserve">Zimbabwe's telecommunications sector exemplifies an oligopolistic market structure, dominated by three primary mobile network operators (MNOs): Econet Wireless Zimbabwe, NetOne, and Telecel Zimbabwe. </w:t>
      </w:r>
      <w:r w:rsidR="000626C7">
        <w:rPr>
          <w:rFonts w:eastAsia="Calibri"/>
        </w:rPr>
        <w:t>According to t</w:t>
      </w:r>
      <w:r w:rsidRPr="007A65CB">
        <w:rPr>
          <w:rFonts w:eastAsia="Calibri"/>
        </w:rPr>
        <w:t xml:space="preserve">hese firms </w:t>
      </w:r>
      <w:r w:rsidR="000626C7">
        <w:rPr>
          <w:rFonts w:eastAsia="Calibri"/>
        </w:rPr>
        <w:t xml:space="preserve">which </w:t>
      </w:r>
      <w:r w:rsidRPr="007A65CB">
        <w:rPr>
          <w:rFonts w:eastAsia="Calibri"/>
        </w:rPr>
        <w:t>collectively control the majority of the market share, creating a competitive yet concentrated industry landscape.</w:t>
      </w:r>
      <w:r w:rsidRPr="007A65CB">
        <w:rPr>
          <w:rFonts w:eastAsia="Calibri"/>
        </w:rPr>
        <w:t xml:space="preserve"> </w:t>
      </w:r>
    </w:p>
    <w:p w14:paraId="1D51C867" w14:textId="6B8135FB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lastRenderedPageBreak/>
        <w:t xml:space="preserve">As per the studies regarding the </w:t>
      </w:r>
      <w:r w:rsidR="007A65CB" w:rsidRPr="007A65CB">
        <w:rPr>
          <w:rFonts w:eastAsia="Calibri"/>
        </w:rPr>
        <w:t xml:space="preserve">Econet Wireless Zimbabwe leads the market with a substantial subscriber base, accounting for approximately 72.29% of mobile subscriptions as of late 2024. </w:t>
      </w:r>
      <w:r>
        <w:rPr>
          <w:rFonts w:eastAsia="Calibri"/>
        </w:rPr>
        <w:t xml:space="preserve">Based on the </w:t>
      </w:r>
      <w:r w:rsidR="007A65CB" w:rsidRPr="007A65CB">
        <w:rPr>
          <w:rFonts w:eastAsia="Calibri"/>
        </w:rPr>
        <w:t>NetOne follows with 25.28%, while Telecel Zimbabwe holds a smaller share of 2.43%</w:t>
      </w:r>
      <w:r>
        <w:rPr>
          <w:rFonts w:eastAsia="Calibri"/>
        </w:rPr>
        <w:t xml:space="preserve"> and t</w:t>
      </w:r>
      <w:r w:rsidR="007A65CB" w:rsidRPr="007A65CB">
        <w:rPr>
          <w:rFonts w:eastAsia="Calibri"/>
        </w:rPr>
        <w:t>his distribution highlights the significant market concentration among these key players, a hallmark of oligopolistic markets.</w:t>
      </w:r>
      <w:r w:rsidR="007A65CB" w:rsidRPr="007A65CB">
        <w:rPr>
          <w:rFonts w:eastAsia="Calibri"/>
        </w:rPr>
        <w:t xml:space="preserve"> </w:t>
      </w:r>
    </w:p>
    <w:p w14:paraId="6581CE57" w14:textId="4C7A3D6A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Because of various challenges, </w:t>
      </w:r>
      <w:r w:rsidR="007A65CB" w:rsidRPr="007A65CB">
        <w:rPr>
          <w:rFonts w:eastAsia="Calibri"/>
        </w:rPr>
        <w:t xml:space="preserve">oligopolistic nature of Zimbabwe's telecom industry is further evidenced by the high barriers to entry, including substantial capital requirements for infrastructure development and regulatory hurdles. </w:t>
      </w:r>
      <w:r>
        <w:rPr>
          <w:rFonts w:eastAsia="Calibri"/>
        </w:rPr>
        <w:t xml:space="preserve">So, on the basis of that </w:t>
      </w:r>
      <w:r w:rsidR="007A65CB" w:rsidRPr="007A65CB">
        <w:rPr>
          <w:rFonts w:eastAsia="Calibri"/>
        </w:rPr>
        <w:t>three dominant MNOs have established extensive network infrastructures, making it challenging for new entrants to compete effectively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(Mpondi, 2018)</w:t>
      </w:r>
      <w:r w:rsidR="007A65CB" w:rsidRPr="007A65CB">
        <w:rPr>
          <w:rFonts w:eastAsia="Calibri"/>
        </w:rPr>
        <w:t>. A</w:t>
      </w:r>
      <w:r>
        <w:rPr>
          <w:rFonts w:eastAsia="Calibri"/>
        </w:rPr>
        <w:t xml:space="preserve">ccording to the </w:t>
      </w:r>
      <w:r w:rsidR="007A65CB" w:rsidRPr="007A65CB">
        <w:rPr>
          <w:rFonts w:eastAsia="Calibri"/>
        </w:rPr>
        <w:t xml:space="preserve">services </w:t>
      </w:r>
      <w:r w:rsidR="00486248" w:rsidRPr="007A65CB">
        <w:rPr>
          <w:rFonts w:eastAsia="Calibri"/>
        </w:rPr>
        <w:t xml:space="preserve">offered, </w:t>
      </w:r>
      <w:r w:rsidR="007A65CB" w:rsidRPr="007A65CB">
        <w:rPr>
          <w:rFonts w:eastAsia="Calibri"/>
        </w:rPr>
        <w:t>such as voice calls, data packages, and mobile money platforms—are relatively homogeneous, leading to competition primarily based on pricing strategies and promotional offers.</w:t>
      </w:r>
      <w:r w:rsidR="007A65CB" w:rsidRPr="007A65CB">
        <w:rPr>
          <w:rFonts w:eastAsia="Calibri"/>
        </w:rPr>
        <w:t xml:space="preserve"> </w:t>
      </w:r>
    </w:p>
    <w:p w14:paraId="3FD5CA6B" w14:textId="48350AA4" w:rsidR="007A65CB" w:rsidRPr="007A65CB" w:rsidRDefault="000626C7" w:rsidP="007A65CB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It also tends to </w:t>
      </w:r>
      <w:proofErr w:type="gramStart"/>
      <w:r>
        <w:rPr>
          <w:rFonts w:eastAsia="Calibri"/>
        </w:rPr>
        <w:t>analysed</w:t>
      </w:r>
      <w:proofErr w:type="gramEnd"/>
      <w:r>
        <w:rPr>
          <w:rFonts w:eastAsia="Calibri"/>
        </w:rPr>
        <w:t xml:space="preserve"> from the previous studies that the </w:t>
      </w:r>
      <w:r w:rsidR="007A65CB" w:rsidRPr="007A65CB">
        <w:rPr>
          <w:rFonts w:eastAsia="Calibri"/>
        </w:rPr>
        <w:t>development of this oligopolistic structure can be traced back to the liberalization of Zimbabwe's telecommunications sector in the late 1990s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(Mpondi, 2018)</w:t>
      </w:r>
      <w:r w:rsidR="007A65CB" w:rsidRPr="007A65CB">
        <w:rPr>
          <w:rFonts w:eastAsia="Calibri"/>
        </w:rPr>
        <w:t xml:space="preserve">. </w:t>
      </w:r>
      <w:r>
        <w:rPr>
          <w:rFonts w:eastAsia="Calibri"/>
        </w:rPr>
        <w:t xml:space="preserve">Neverthelss, it also tends to comprised of </w:t>
      </w:r>
      <w:r w:rsidR="007A65CB" w:rsidRPr="007A65CB">
        <w:rPr>
          <w:rFonts w:eastAsia="Calibri"/>
        </w:rPr>
        <w:t xml:space="preserve">Econet Wireless Zimbabwe commenced operations in 1998 after a protracted legal battle for licensing, marking the beginning of private participation in the industry. </w:t>
      </w:r>
      <w:r>
        <w:rPr>
          <w:rFonts w:eastAsia="Calibri"/>
        </w:rPr>
        <w:t>According to NetOne</w:t>
      </w:r>
      <w:r w:rsidR="007A65CB" w:rsidRPr="007A65CB">
        <w:rPr>
          <w:rFonts w:eastAsia="Calibri"/>
        </w:rPr>
        <w:t xml:space="preserve">, established in 1996, </w:t>
      </w:r>
      <w:proofErr w:type="gramStart"/>
      <w:r w:rsidR="007A65CB" w:rsidRPr="007A65CB">
        <w:rPr>
          <w:rFonts w:eastAsia="Calibri"/>
        </w:rPr>
        <w:t>was</w:t>
      </w:r>
      <w:proofErr w:type="gramEnd"/>
      <w:r w:rsidR="007A65CB" w:rsidRPr="007A65CB">
        <w:rPr>
          <w:rFonts w:eastAsia="Calibri"/>
        </w:rPr>
        <w:t xml:space="preserve"> the country's first cellular network operator and remains state-owned. Telecel Zimbabwe also entered the market in 1998, initially as a joint venture between local investors and foreign partners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(Chipumho, 2011)</w:t>
      </w:r>
      <w:r w:rsidR="007A65CB" w:rsidRPr="007A65CB">
        <w:rPr>
          <w:rFonts w:eastAsia="Calibri"/>
        </w:rPr>
        <w:t>.</w:t>
      </w:r>
      <w:r w:rsidR="007A65CB" w:rsidRPr="007A65CB">
        <w:rPr>
          <w:rFonts w:eastAsia="Calibri"/>
        </w:rPr>
        <w:t xml:space="preserve"> </w:t>
      </w:r>
    </w:p>
    <w:p w14:paraId="19C01413" w14:textId="4BDA64CE" w:rsidR="007A65CB" w:rsidRPr="000626C7" w:rsidRDefault="000626C7" w:rsidP="000626C7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In accordance with the </w:t>
      </w:r>
      <w:r w:rsidR="007A65CB" w:rsidRPr="007A65CB">
        <w:rPr>
          <w:rFonts w:eastAsia="Calibri"/>
        </w:rPr>
        <w:t xml:space="preserve">oligopolistic structure has yielded both benefits and challenges for Zimbabwe. </w:t>
      </w:r>
      <w:r>
        <w:rPr>
          <w:rFonts w:eastAsia="Calibri"/>
        </w:rPr>
        <w:t>However, on the other hand</w:t>
      </w:r>
      <w:r w:rsidR="007A65CB" w:rsidRPr="007A65CB">
        <w:rPr>
          <w:rFonts w:eastAsia="Calibri"/>
        </w:rPr>
        <w:t xml:space="preserve">, the competition among the three MNOs has driven investments in network expansion and technological advancements, improving service quality </w:t>
      </w:r>
      <w:r w:rsidR="007A65CB" w:rsidRPr="007A65CB">
        <w:rPr>
          <w:rFonts w:eastAsia="Calibri"/>
        </w:rPr>
        <w:lastRenderedPageBreak/>
        <w:t xml:space="preserve">and coverage. </w:t>
      </w:r>
      <w:r>
        <w:rPr>
          <w:rFonts w:eastAsia="Calibri"/>
        </w:rPr>
        <w:t xml:space="preserve">One of the major examples tends to consist of </w:t>
      </w:r>
      <w:r w:rsidR="007A65CB" w:rsidRPr="007A65CB">
        <w:rPr>
          <w:rFonts w:eastAsia="Calibri"/>
        </w:rPr>
        <w:t xml:space="preserve">all three </w:t>
      </w:r>
      <w:r w:rsidRPr="007A65CB">
        <w:rPr>
          <w:rFonts w:eastAsia="Calibri"/>
        </w:rPr>
        <w:t>operators who</w:t>
      </w:r>
      <w:r w:rsidR="007A65CB" w:rsidRPr="007A65CB">
        <w:rPr>
          <w:rFonts w:eastAsia="Calibri"/>
        </w:rPr>
        <w:t xml:space="preserve"> have been involved in upgrading their networks to support 4G and 5G technologies. </w:t>
      </w:r>
      <w:r>
        <w:rPr>
          <w:rFonts w:eastAsia="Calibri"/>
        </w:rPr>
        <w:t xml:space="preserve">It tends to illustrate that the </w:t>
      </w:r>
      <w:r w:rsidR="007A65CB" w:rsidRPr="007A65CB">
        <w:rPr>
          <w:rFonts w:eastAsia="Calibri"/>
        </w:rPr>
        <w:t xml:space="preserve">limited number of competitors also raises concerns about potential collusion, </w:t>
      </w:r>
      <w:r w:rsidRPr="007A65CB">
        <w:rPr>
          <w:rFonts w:eastAsia="Calibri"/>
        </w:rPr>
        <w:t>price fixing</w:t>
      </w:r>
      <w:r w:rsidR="007A65CB" w:rsidRPr="007A65CB">
        <w:rPr>
          <w:rFonts w:eastAsia="Calibri"/>
        </w:rPr>
        <w:t xml:space="preserve">, and reduced incentives for innovation. </w:t>
      </w:r>
      <w:r>
        <w:rPr>
          <w:rFonts w:eastAsia="Calibri"/>
        </w:rPr>
        <w:t>Based on the r</w:t>
      </w:r>
      <w:r w:rsidR="007A65CB" w:rsidRPr="007A65CB">
        <w:rPr>
          <w:rFonts w:eastAsia="Calibri"/>
        </w:rPr>
        <w:t>egulatory oversight by the Postal and Telecommunications Regulatory Authority of Zimbabwe (POTRAZ) is crucial in mitigating these risks and ensuring fair competition.</w:t>
      </w:r>
    </w:p>
    <w:p w14:paraId="5F68ACB8" w14:textId="145E6561" w:rsidR="002166B6" w:rsidRDefault="002166B6" w:rsidP="002166B6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Competition  </w:t>
      </w:r>
    </w:p>
    <w:p w14:paraId="6CDD79C0" w14:textId="32165E23" w:rsidR="007A65CB" w:rsidRPr="000626C7" w:rsidRDefault="007A65CB" w:rsidP="007A65CB">
      <w:pPr>
        <w:spacing w:line="480" w:lineRule="auto"/>
        <w:rPr>
          <w:rFonts w:eastAsia="Calibri"/>
        </w:rPr>
      </w:pPr>
      <w:r w:rsidRPr="000626C7">
        <w:rPr>
          <w:rFonts w:eastAsia="Calibri"/>
        </w:rPr>
        <w:tab/>
      </w:r>
      <w:r w:rsidR="000626C7" w:rsidRPr="000626C7">
        <w:rPr>
          <w:rFonts w:eastAsia="Calibri"/>
        </w:rPr>
        <w:t xml:space="preserve">According to the </w:t>
      </w:r>
      <w:r w:rsidRPr="000626C7">
        <w:rPr>
          <w:rFonts w:eastAsia="Calibri"/>
        </w:rPr>
        <w:t>Zimbabwe's agricultural sector exemplifies a competitive market structure, characterized by numerous smallholder farmers operating independently</w:t>
      </w:r>
      <w:r w:rsidR="000626C7">
        <w:rPr>
          <w:rFonts w:eastAsia="Calibri"/>
        </w:rPr>
        <w:t xml:space="preserve"> and t</w:t>
      </w:r>
      <w:r w:rsidRPr="000626C7">
        <w:rPr>
          <w:rFonts w:eastAsia="Calibri"/>
        </w:rPr>
        <w:t xml:space="preserve">hese farmers, cultivating small plots of land, produce staple crops such as maize, sorghum, and groundnuts. </w:t>
      </w:r>
      <w:r w:rsidR="000626C7">
        <w:rPr>
          <w:rFonts w:eastAsia="Calibri"/>
        </w:rPr>
        <w:t xml:space="preserve">However, it is evident from the recent studies that the </w:t>
      </w:r>
      <w:r w:rsidRPr="000626C7">
        <w:rPr>
          <w:rFonts w:eastAsia="Calibri"/>
        </w:rPr>
        <w:t xml:space="preserve">presence of many producers, none of whom can individually influence market prices, aligns with the principles of perfect competition. </w:t>
      </w:r>
      <w:r w:rsidR="000626C7">
        <w:rPr>
          <w:rFonts w:eastAsia="Calibri"/>
        </w:rPr>
        <w:t xml:space="preserve">So, overall, it tends to suggest as </w:t>
      </w:r>
      <w:r w:rsidRPr="000626C7">
        <w:rPr>
          <w:rFonts w:eastAsia="Calibri"/>
        </w:rPr>
        <w:t>ease of entry and exit in farming activities, coupled with the availability of market information, further supports the classification of this sector as competitive.</w:t>
      </w:r>
    </w:p>
    <w:p w14:paraId="2FA8A5B7" w14:textId="6BC1484D" w:rsidR="007A65CB" w:rsidRPr="00907DCA" w:rsidRDefault="00907DCA" w:rsidP="00907DCA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It is analysed from the previous research that the </w:t>
      </w:r>
      <w:r w:rsidR="007A65CB" w:rsidRPr="007A65CB">
        <w:rPr>
          <w:rFonts w:eastAsia="Calibri"/>
        </w:rPr>
        <w:t xml:space="preserve">agriculture has been the backbone of Zimbabwe's economy, providing employment and livelihoods for a significant portion of the population. </w:t>
      </w:r>
      <w:r>
        <w:rPr>
          <w:rFonts w:eastAsia="Calibri"/>
        </w:rPr>
        <w:t xml:space="preserve">So, on the basis of that, the </w:t>
      </w:r>
      <w:r w:rsidR="007A65CB" w:rsidRPr="007A65CB">
        <w:rPr>
          <w:rFonts w:eastAsia="Calibri"/>
        </w:rPr>
        <w:t>sector's competitiveness was bolstered by land reform policies that redistributed land to smallholder farmers, increasing their numbers and diversity</w:t>
      </w:r>
      <w:r>
        <w:rPr>
          <w:rFonts w:eastAsia="Calibri"/>
        </w:rPr>
        <w:t xml:space="preserve"> and t</w:t>
      </w:r>
      <w:r w:rsidR="007A65CB" w:rsidRPr="007A65CB">
        <w:rPr>
          <w:rFonts w:eastAsia="Calibri"/>
        </w:rPr>
        <w:t>his shift empowered local communities, enhanced food security, and stimulated rural economies</w:t>
      </w:r>
      <w:r w:rsidR="00486248">
        <w:rPr>
          <w:rFonts w:eastAsia="Calibri"/>
        </w:rPr>
        <w:t xml:space="preserve"> </w:t>
      </w:r>
      <w:r w:rsidR="00486248" w:rsidRPr="00486248">
        <w:rPr>
          <w:rFonts w:eastAsia="Calibri"/>
        </w:rPr>
        <w:t>(Chipumho, 2011)</w:t>
      </w:r>
      <w:r w:rsidR="007A65CB" w:rsidRPr="007A65CB">
        <w:rPr>
          <w:rFonts w:eastAsia="Calibri"/>
        </w:rPr>
        <w:t xml:space="preserve">. </w:t>
      </w:r>
      <w:r>
        <w:rPr>
          <w:rFonts w:eastAsia="Calibri"/>
        </w:rPr>
        <w:t xml:space="preserve">Nevertheless, it also tends to </w:t>
      </w:r>
      <w:r w:rsidR="00486248">
        <w:rPr>
          <w:rFonts w:eastAsia="Calibri"/>
        </w:rPr>
        <w:t>show that</w:t>
      </w:r>
      <w:r>
        <w:rPr>
          <w:rFonts w:eastAsia="Calibri"/>
        </w:rPr>
        <w:t xml:space="preserve"> the </w:t>
      </w:r>
      <w:r w:rsidR="007A65CB" w:rsidRPr="007A65CB">
        <w:rPr>
          <w:rFonts w:eastAsia="Calibri"/>
        </w:rPr>
        <w:t>competitive nature of the sector has encouraged innovation and efficiency among farmers striving to maximize yields and profits.</w:t>
      </w:r>
    </w:p>
    <w:p w14:paraId="7F79F8D8" w14:textId="77777777" w:rsidR="000455F6" w:rsidRDefault="000455F6" w:rsidP="003C7F15">
      <w:pPr>
        <w:pStyle w:val="Blockquote"/>
        <w:spacing w:before="0" w:after="0" w:line="480" w:lineRule="auto"/>
        <w:ind w:lef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t>Conclusion</w:t>
      </w:r>
    </w:p>
    <w:p w14:paraId="369968FC" w14:textId="672582D5" w:rsidR="007A65CB" w:rsidRPr="007A65CB" w:rsidRDefault="00907DCA" w:rsidP="007A65CB">
      <w:pPr>
        <w:pStyle w:val="Blockquote"/>
        <w:spacing w:before="0" w:after="0" w:line="480" w:lineRule="auto"/>
        <w:ind w:left="0" w:firstLine="720"/>
        <w:rPr>
          <w:bCs/>
          <w:color w:val="000000"/>
        </w:rPr>
      </w:pPr>
      <w:r>
        <w:rPr>
          <w:bCs/>
          <w:color w:val="000000"/>
        </w:rPr>
        <w:lastRenderedPageBreak/>
        <w:t>According to the above analysis which tends to conclude that it is important to u</w:t>
      </w:r>
      <w:r w:rsidR="007A65CB" w:rsidRPr="007A65CB">
        <w:rPr>
          <w:bCs/>
          <w:color w:val="000000"/>
        </w:rPr>
        <w:t xml:space="preserve">nderstand the different market structures within Zimbabwe provides valuable insights into the country’s economic dynamics. </w:t>
      </w:r>
      <w:r>
        <w:rPr>
          <w:bCs/>
          <w:color w:val="000000"/>
        </w:rPr>
        <w:t xml:space="preserve">In accordance with the </w:t>
      </w:r>
      <w:r w:rsidR="007A65CB" w:rsidRPr="007A65CB">
        <w:rPr>
          <w:bCs/>
          <w:color w:val="000000"/>
        </w:rPr>
        <w:t>presence of monopolies like ZESA, oligopolies such as the telecommunications sector, and competitive markets like agriculture highlights the diverse nature of Zimbabwe’s economy</w:t>
      </w:r>
      <w:r>
        <w:rPr>
          <w:bCs/>
          <w:color w:val="000000"/>
        </w:rPr>
        <w:t xml:space="preserve"> and t</w:t>
      </w:r>
      <w:r w:rsidR="007A65CB" w:rsidRPr="007A65CB">
        <w:rPr>
          <w:bCs/>
          <w:color w:val="000000"/>
        </w:rPr>
        <w:t>his structural diversity plays a critical role in promoting innovation, investment, and economic resilience, while also presenting unique challenges that require careful management to ensure sustainable growth.</w:t>
      </w:r>
    </w:p>
    <w:p w14:paraId="0570147F" w14:textId="365D696F" w:rsidR="007A65CB" w:rsidRPr="00B224B6" w:rsidRDefault="007A65CB" w:rsidP="007A65CB">
      <w:pPr>
        <w:pStyle w:val="Blockquote"/>
        <w:spacing w:before="0" w:after="0" w:line="480" w:lineRule="auto"/>
        <w:ind w:left="0"/>
        <w:rPr>
          <w:b/>
          <w:color w:val="000000"/>
          <w:szCs w:val="24"/>
        </w:rPr>
      </w:pPr>
    </w:p>
    <w:p w14:paraId="5FC249A1" w14:textId="77777777" w:rsidR="000455F6" w:rsidRPr="00B224B6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14:paraId="38084DC1" w14:textId="407D23B8" w:rsidR="007A65CB" w:rsidRDefault="007A65CB" w:rsidP="007A65CB">
      <w:pPr>
        <w:spacing w:line="480" w:lineRule="auto"/>
        <w:ind w:left="720" w:hanging="720"/>
        <w:rPr>
          <w:color w:val="000000"/>
        </w:rPr>
      </w:pPr>
      <w:r w:rsidRPr="007A65CB">
        <w:rPr>
          <w:color w:val="000000"/>
        </w:rPr>
        <w:t xml:space="preserve">Chipumho, E. (2011) 'Linking Electricity Supply to Economic Growth in Zimbabwe', </w:t>
      </w:r>
      <w:r w:rsidRPr="007A65CB">
        <w:rPr>
          <w:i/>
          <w:iCs/>
          <w:color w:val="000000"/>
        </w:rPr>
        <w:t>ZEPARU Working Paper Series (ZWPS 03/11)</w:t>
      </w:r>
      <w:r w:rsidRPr="007A65CB">
        <w:rPr>
          <w:color w:val="000000"/>
        </w:rPr>
        <w:t xml:space="preserve">. </w:t>
      </w:r>
    </w:p>
    <w:p w14:paraId="2477AD91" w14:textId="1BD02662" w:rsidR="007A65CB" w:rsidRDefault="007A65CB" w:rsidP="007A65CB">
      <w:pPr>
        <w:spacing w:line="480" w:lineRule="auto"/>
        <w:ind w:left="720" w:hanging="720"/>
        <w:rPr>
          <w:color w:val="000000"/>
        </w:rPr>
      </w:pPr>
      <w:r w:rsidRPr="007A65CB">
        <w:rPr>
          <w:color w:val="000000"/>
        </w:rPr>
        <w:t xml:space="preserve">Mpondi, D. (2018) '“Opening Up Spaces”: The Politics of Black Economic Empowerment and Indigenization in the Telecommunications Industry in Post-Independence Zimbabwe', </w:t>
      </w:r>
      <w:r w:rsidRPr="007A65CB">
        <w:rPr>
          <w:i/>
          <w:iCs/>
          <w:color w:val="000000"/>
        </w:rPr>
        <w:t>The Journal of Pan African Studies</w:t>
      </w:r>
      <w:r w:rsidRPr="007A65CB">
        <w:rPr>
          <w:color w:val="000000"/>
        </w:rPr>
        <w:t xml:space="preserve">, 11(2), pp. 4–20. </w:t>
      </w:r>
    </w:p>
    <w:p w14:paraId="39C96400" w14:textId="1B5D3D98" w:rsidR="007A65CB" w:rsidRDefault="007A65CB" w:rsidP="007A65CB">
      <w:pPr>
        <w:spacing w:line="480" w:lineRule="auto"/>
        <w:ind w:left="720" w:hanging="720"/>
        <w:rPr>
          <w:color w:val="000000"/>
        </w:rPr>
      </w:pPr>
      <w:r w:rsidRPr="007A65CB">
        <w:rPr>
          <w:color w:val="000000"/>
        </w:rPr>
        <w:t xml:space="preserve">Nyandoro, M. and Andersson, J.A. (2025) 'Zimbabwe’s agriculture and food security: past, present and future (1960–2050)', in </w:t>
      </w:r>
      <w:r w:rsidRPr="007A65CB">
        <w:rPr>
          <w:i/>
          <w:iCs/>
          <w:color w:val="000000"/>
        </w:rPr>
        <w:t>Pathways to African Food Security</w:t>
      </w:r>
      <w:r w:rsidRPr="007A65CB">
        <w:rPr>
          <w:color w:val="000000"/>
        </w:rPr>
        <w:t xml:space="preserve">. Routledge, pp. 59–72. </w:t>
      </w:r>
    </w:p>
    <w:p w14:paraId="60DE538C" w14:textId="5ED7347A" w:rsidR="007A65CB" w:rsidRDefault="007A65CB" w:rsidP="007A65CB">
      <w:pPr>
        <w:spacing w:line="480" w:lineRule="auto"/>
        <w:ind w:left="720" w:hanging="720"/>
        <w:rPr>
          <w:color w:val="000000"/>
        </w:rPr>
      </w:pPr>
      <w:r w:rsidRPr="007A65CB">
        <w:rPr>
          <w:color w:val="000000"/>
        </w:rPr>
        <w:t xml:space="preserve">ACBF (2006) </w:t>
      </w:r>
      <w:r w:rsidRPr="007A65CB">
        <w:rPr>
          <w:i/>
          <w:iCs/>
          <w:color w:val="000000"/>
        </w:rPr>
        <w:t>Building Agricultural Competitiveness in Zimbabwe</w:t>
      </w:r>
      <w:r w:rsidRPr="007A65CB">
        <w:rPr>
          <w:color w:val="000000"/>
        </w:rPr>
        <w:t xml:space="preserve">. Harare: African Capacity Building Foundation. Available at: </w:t>
      </w:r>
    </w:p>
    <w:p w14:paraId="0C520018" w14:textId="010526D5" w:rsidR="00A42F13" w:rsidRPr="00B224B6" w:rsidRDefault="007A65CB" w:rsidP="007A65CB">
      <w:pPr>
        <w:spacing w:line="480" w:lineRule="auto"/>
        <w:ind w:left="720" w:hanging="720"/>
        <w:rPr>
          <w:color w:val="000000"/>
        </w:rPr>
      </w:pPr>
      <w:r w:rsidRPr="007A65CB">
        <w:rPr>
          <w:color w:val="000000"/>
        </w:rPr>
        <w:t xml:space="preserve">World Bank (2017) </w:t>
      </w:r>
      <w:r w:rsidRPr="007A65CB">
        <w:rPr>
          <w:i/>
          <w:iCs/>
          <w:color w:val="000000"/>
        </w:rPr>
        <w:t>Zimbabwe: Agriculture Sector Disaster Risk Assessment</w:t>
      </w:r>
      <w:r w:rsidRPr="007A65CB">
        <w:rPr>
          <w:color w:val="000000"/>
        </w:rPr>
        <w:t xml:space="preserve">. Washington, D.C.: World Bank. </w:t>
      </w:r>
    </w:p>
    <w:sectPr w:rsidR="00A42F13" w:rsidRPr="00B224B6" w:rsidSect="003F515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677C" w14:textId="77777777" w:rsidR="00EB6674" w:rsidRDefault="00EB6674">
      <w:r>
        <w:separator/>
      </w:r>
    </w:p>
  </w:endnote>
  <w:endnote w:type="continuationSeparator" w:id="0">
    <w:p w14:paraId="38F8C0EC" w14:textId="77777777" w:rsidR="00EB6674" w:rsidRDefault="00EB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0D56" w14:textId="77777777" w:rsidR="00EB6674" w:rsidRDefault="00EB6674">
      <w:r>
        <w:separator/>
      </w:r>
    </w:p>
  </w:footnote>
  <w:footnote w:type="continuationSeparator" w:id="0">
    <w:p w14:paraId="242571D0" w14:textId="77777777" w:rsidR="00EB6674" w:rsidRDefault="00EB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46C" w14:textId="77777777" w:rsidR="00B32F73" w:rsidRDefault="00E4493B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2A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9BF68D" w14:textId="6E40F66C"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094E0A">
      <w:t>530</w:t>
    </w:r>
    <w:r w:rsidR="00D0108C">
      <w:t xml:space="preserve"> </w:t>
    </w:r>
    <w:r w:rsidR="00352229">
      <w:t>Case</w:t>
    </w:r>
    <w:r w:rsidR="006624AB">
      <w:t xml:space="preserve"> </w:t>
    </w:r>
    <w:r w:rsidR="003B1606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AA7D" w14:textId="73FA77ED" w:rsidR="00B32F73" w:rsidRDefault="003F5158" w:rsidP="00286395">
    <w:pPr>
      <w:pStyle w:val="Header"/>
      <w:jc w:val="right"/>
    </w:pPr>
    <w:r>
      <w:t xml:space="preserve">                                                                                               </w:t>
    </w:r>
    <w:r w:rsidR="00AE1D46">
      <w:fldChar w:fldCharType="begin"/>
    </w:r>
    <w:r w:rsidR="00AE1D46">
      <w:instrText xml:space="preserve"> PAGE   \* MERGEFORMAT </w:instrText>
    </w:r>
    <w:r w:rsidR="00AE1D46">
      <w:fldChar w:fldCharType="separate"/>
    </w:r>
    <w:r w:rsidR="003E42AB">
      <w:rPr>
        <w:noProof/>
      </w:rPr>
      <w:t>1</w:t>
    </w:r>
    <w:r w:rsidR="00AE1D46">
      <w:rPr>
        <w:noProof/>
      </w:rPr>
      <w:fldChar w:fldCharType="end"/>
    </w:r>
  </w:p>
  <w:p w14:paraId="2A3953CE" w14:textId="77777777" w:rsidR="00B32F73" w:rsidRDefault="00B3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5246"/>
    <w:multiLevelType w:val="hybridMultilevel"/>
    <w:tmpl w:val="161C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80DE3"/>
    <w:multiLevelType w:val="hybridMultilevel"/>
    <w:tmpl w:val="AE740FA6"/>
    <w:lvl w:ilvl="0" w:tplc="C5A6267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F2917"/>
    <w:multiLevelType w:val="hybridMultilevel"/>
    <w:tmpl w:val="171E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42C8A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E76CF"/>
    <w:multiLevelType w:val="hybridMultilevel"/>
    <w:tmpl w:val="6E3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6B5E"/>
    <w:multiLevelType w:val="hybridMultilevel"/>
    <w:tmpl w:val="80F2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99607">
    <w:abstractNumId w:val="19"/>
  </w:num>
  <w:num w:numId="2" w16cid:durableId="822896130">
    <w:abstractNumId w:val="8"/>
  </w:num>
  <w:num w:numId="3" w16cid:durableId="85344516">
    <w:abstractNumId w:val="17"/>
  </w:num>
  <w:num w:numId="4" w16cid:durableId="562300534">
    <w:abstractNumId w:val="27"/>
  </w:num>
  <w:num w:numId="5" w16cid:durableId="25448889">
    <w:abstractNumId w:val="1"/>
  </w:num>
  <w:num w:numId="6" w16cid:durableId="222714193">
    <w:abstractNumId w:val="31"/>
  </w:num>
  <w:num w:numId="7" w16cid:durableId="1960448251">
    <w:abstractNumId w:val="28"/>
  </w:num>
  <w:num w:numId="8" w16cid:durableId="153112048">
    <w:abstractNumId w:val="12"/>
  </w:num>
  <w:num w:numId="9" w16cid:durableId="2060857949">
    <w:abstractNumId w:val="2"/>
  </w:num>
  <w:num w:numId="10" w16cid:durableId="1778519236">
    <w:abstractNumId w:val="20"/>
  </w:num>
  <w:num w:numId="11" w16cid:durableId="186600814">
    <w:abstractNumId w:val="4"/>
  </w:num>
  <w:num w:numId="12" w16cid:durableId="1945721021">
    <w:abstractNumId w:val="29"/>
  </w:num>
  <w:num w:numId="13" w16cid:durableId="1597985149">
    <w:abstractNumId w:val="30"/>
  </w:num>
  <w:num w:numId="14" w16cid:durableId="2021661502">
    <w:abstractNumId w:val="25"/>
  </w:num>
  <w:num w:numId="15" w16cid:durableId="821773606">
    <w:abstractNumId w:val="34"/>
  </w:num>
  <w:num w:numId="16" w16cid:durableId="562986930">
    <w:abstractNumId w:val="23"/>
  </w:num>
  <w:num w:numId="17" w16cid:durableId="835537399">
    <w:abstractNumId w:val="35"/>
  </w:num>
  <w:num w:numId="18" w16cid:durableId="945961999">
    <w:abstractNumId w:val="9"/>
  </w:num>
  <w:num w:numId="19" w16cid:durableId="1268540327">
    <w:abstractNumId w:val="7"/>
  </w:num>
  <w:num w:numId="20" w16cid:durableId="1832141662">
    <w:abstractNumId w:val="14"/>
  </w:num>
  <w:num w:numId="21" w16cid:durableId="817721872">
    <w:abstractNumId w:val="24"/>
  </w:num>
  <w:num w:numId="22" w16cid:durableId="79569588">
    <w:abstractNumId w:val="10"/>
  </w:num>
  <w:num w:numId="23" w16cid:durableId="1056903061">
    <w:abstractNumId w:val="26"/>
  </w:num>
  <w:num w:numId="24" w16cid:durableId="36244763">
    <w:abstractNumId w:val="3"/>
  </w:num>
  <w:num w:numId="25" w16cid:durableId="779225761">
    <w:abstractNumId w:val="32"/>
  </w:num>
  <w:num w:numId="26" w16cid:durableId="1022704373">
    <w:abstractNumId w:val="22"/>
  </w:num>
  <w:num w:numId="27" w16cid:durableId="1045566944">
    <w:abstractNumId w:val="11"/>
  </w:num>
  <w:num w:numId="28" w16cid:durableId="1848324407">
    <w:abstractNumId w:val="5"/>
  </w:num>
  <w:num w:numId="29" w16cid:durableId="1377775311">
    <w:abstractNumId w:val="33"/>
  </w:num>
  <w:num w:numId="30" w16cid:durableId="1395353112">
    <w:abstractNumId w:val="16"/>
  </w:num>
  <w:num w:numId="31" w16cid:durableId="2141065852">
    <w:abstractNumId w:val="0"/>
  </w:num>
  <w:num w:numId="32" w16cid:durableId="1158348851">
    <w:abstractNumId w:val="18"/>
  </w:num>
  <w:num w:numId="33" w16cid:durableId="1276211616">
    <w:abstractNumId w:val="15"/>
  </w:num>
  <w:num w:numId="34" w16cid:durableId="563760872">
    <w:abstractNumId w:val="6"/>
  </w:num>
  <w:num w:numId="35" w16cid:durableId="1213418125">
    <w:abstractNumId w:val="21"/>
  </w:num>
  <w:num w:numId="36" w16cid:durableId="1612936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0MzYztzC3MDE0MDFR0lEKTi0uzszPAykwMqsFAB71kI8tAAAA"/>
  </w:docVars>
  <w:rsids>
    <w:rsidRoot w:val="0050433C"/>
    <w:rsid w:val="00026142"/>
    <w:rsid w:val="0003472F"/>
    <w:rsid w:val="000455F6"/>
    <w:rsid w:val="00047143"/>
    <w:rsid w:val="000511FA"/>
    <w:rsid w:val="0006074E"/>
    <w:rsid w:val="000626C7"/>
    <w:rsid w:val="00081629"/>
    <w:rsid w:val="00085C7F"/>
    <w:rsid w:val="00094E0A"/>
    <w:rsid w:val="000A198A"/>
    <w:rsid w:val="000A39A9"/>
    <w:rsid w:val="000B008D"/>
    <w:rsid w:val="000B6AD6"/>
    <w:rsid w:val="000C144F"/>
    <w:rsid w:val="000C1741"/>
    <w:rsid w:val="000C6AD9"/>
    <w:rsid w:val="000E0F36"/>
    <w:rsid w:val="000F1641"/>
    <w:rsid w:val="00106FDE"/>
    <w:rsid w:val="001147C1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84530"/>
    <w:rsid w:val="001A55A9"/>
    <w:rsid w:val="001D090F"/>
    <w:rsid w:val="001D1CD9"/>
    <w:rsid w:val="001F40F3"/>
    <w:rsid w:val="0020174B"/>
    <w:rsid w:val="0020241D"/>
    <w:rsid w:val="00211094"/>
    <w:rsid w:val="0021351E"/>
    <w:rsid w:val="002166B6"/>
    <w:rsid w:val="002439C9"/>
    <w:rsid w:val="00253713"/>
    <w:rsid w:val="00256256"/>
    <w:rsid w:val="00286395"/>
    <w:rsid w:val="002A2C9F"/>
    <w:rsid w:val="002B6BFA"/>
    <w:rsid w:val="002C00BE"/>
    <w:rsid w:val="002C7462"/>
    <w:rsid w:val="002D755D"/>
    <w:rsid w:val="002E6180"/>
    <w:rsid w:val="002F7DEF"/>
    <w:rsid w:val="00312827"/>
    <w:rsid w:val="00352229"/>
    <w:rsid w:val="00352E8D"/>
    <w:rsid w:val="00354C36"/>
    <w:rsid w:val="00356E85"/>
    <w:rsid w:val="00361978"/>
    <w:rsid w:val="00364C68"/>
    <w:rsid w:val="003A0026"/>
    <w:rsid w:val="003A1801"/>
    <w:rsid w:val="003B1606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112E"/>
    <w:rsid w:val="00454CAF"/>
    <w:rsid w:val="00456686"/>
    <w:rsid w:val="004578EE"/>
    <w:rsid w:val="004604B1"/>
    <w:rsid w:val="00466700"/>
    <w:rsid w:val="004853C2"/>
    <w:rsid w:val="00486248"/>
    <w:rsid w:val="00492DCE"/>
    <w:rsid w:val="0049530B"/>
    <w:rsid w:val="004A3C8E"/>
    <w:rsid w:val="004C1298"/>
    <w:rsid w:val="00502A2F"/>
    <w:rsid w:val="005040FF"/>
    <w:rsid w:val="0050433C"/>
    <w:rsid w:val="0050489F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65"/>
    <w:rsid w:val="005E5214"/>
    <w:rsid w:val="005E5984"/>
    <w:rsid w:val="005F3678"/>
    <w:rsid w:val="005F75ED"/>
    <w:rsid w:val="0060394A"/>
    <w:rsid w:val="00611032"/>
    <w:rsid w:val="006124DB"/>
    <w:rsid w:val="00614C45"/>
    <w:rsid w:val="00625523"/>
    <w:rsid w:val="006416F4"/>
    <w:rsid w:val="006431F1"/>
    <w:rsid w:val="00660724"/>
    <w:rsid w:val="006624AB"/>
    <w:rsid w:val="00672D33"/>
    <w:rsid w:val="006730B0"/>
    <w:rsid w:val="00674A8C"/>
    <w:rsid w:val="006A5C5E"/>
    <w:rsid w:val="006B25B5"/>
    <w:rsid w:val="006B57B0"/>
    <w:rsid w:val="006E1EF5"/>
    <w:rsid w:val="006F527A"/>
    <w:rsid w:val="0070200D"/>
    <w:rsid w:val="00711DC4"/>
    <w:rsid w:val="007572B6"/>
    <w:rsid w:val="007A1B1F"/>
    <w:rsid w:val="007A65CB"/>
    <w:rsid w:val="007B242C"/>
    <w:rsid w:val="007D1376"/>
    <w:rsid w:val="007F79BB"/>
    <w:rsid w:val="008026AA"/>
    <w:rsid w:val="0081017D"/>
    <w:rsid w:val="00824636"/>
    <w:rsid w:val="008255DE"/>
    <w:rsid w:val="00841A9E"/>
    <w:rsid w:val="00841F4A"/>
    <w:rsid w:val="0084438C"/>
    <w:rsid w:val="00844EE7"/>
    <w:rsid w:val="00854C46"/>
    <w:rsid w:val="00873554"/>
    <w:rsid w:val="00880C08"/>
    <w:rsid w:val="00883AAD"/>
    <w:rsid w:val="00896609"/>
    <w:rsid w:val="008B7F59"/>
    <w:rsid w:val="008C7966"/>
    <w:rsid w:val="008D23AA"/>
    <w:rsid w:val="008D3F0D"/>
    <w:rsid w:val="008D5C02"/>
    <w:rsid w:val="008E469D"/>
    <w:rsid w:val="008F0F1C"/>
    <w:rsid w:val="008F74C4"/>
    <w:rsid w:val="009007D4"/>
    <w:rsid w:val="00907DCA"/>
    <w:rsid w:val="0091254D"/>
    <w:rsid w:val="00954A41"/>
    <w:rsid w:val="00960B22"/>
    <w:rsid w:val="009749F9"/>
    <w:rsid w:val="00977C3F"/>
    <w:rsid w:val="00990C99"/>
    <w:rsid w:val="00991A50"/>
    <w:rsid w:val="009A3DEA"/>
    <w:rsid w:val="009B60B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7498"/>
    <w:rsid w:val="00A426A5"/>
    <w:rsid w:val="00A42F13"/>
    <w:rsid w:val="00A4532E"/>
    <w:rsid w:val="00A6361F"/>
    <w:rsid w:val="00A725AF"/>
    <w:rsid w:val="00A75CFC"/>
    <w:rsid w:val="00A90A9E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80515"/>
    <w:rsid w:val="00B8112C"/>
    <w:rsid w:val="00B93D96"/>
    <w:rsid w:val="00BD1C8D"/>
    <w:rsid w:val="00BD3733"/>
    <w:rsid w:val="00BD6FF4"/>
    <w:rsid w:val="00BE410C"/>
    <w:rsid w:val="00BF7C6E"/>
    <w:rsid w:val="00C16DDC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9711B"/>
    <w:rsid w:val="00CA791D"/>
    <w:rsid w:val="00CC057E"/>
    <w:rsid w:val="00CC3628"/>
    <w:rsid w:val="00CD2528"/>
    <w:rsid w:val="00CE2E66"/>
    <w:rsid w:val="00CF070A"/>
    <w:rsid w:val="00CF6843"/>
    <w:rsid w:val="00D0108C"/>
    <w:rsid w:val="00D13AC0"/>
    <w:rsid w:val="00D172FE"/>
    <w:rsid w:val="00D200BF"/>
    <w:rsid w:val="00D47CA9"/>
    <w:rsid w:val="00D57D30"/>
    <w:rsid w:val="00D7332A"/>
    <w:rsid w:val="00D82F74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27F"/>
    <w:rsid w:val="00E63F35"/>
    <w:rsid w:val="00E642BD"/>
    <w:rsid w:val="00E64AD3"/>
    <w:rsid w:val="00E75E4F"/>
    <w:rsid w:val="00E80CFF"/>
    <w:rsid w:val="00E940DC"/>
    <w:rsid w:val="00EB211C"/>
    <w:rsid w:val="00EB6674"/>
    <w:rsid w:val="00EC03B6"/>
    <w:rsid w:val="00ED47C2"/>
    <w:rsid w:val="00EF1CB2"/>
    <w:rsid w:val="00EF57CD"/>
    <w:rsid w:val="00F20699"/>
    <w:rsid w:val="00F21C59"/>
    <w:rsid w:val="00F257CE"/>
    <w:rsid w:val="00F378C4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D0F"/>
    <w:rsid w:val="00F96D5C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8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2021-06-01T16:31:00Z</dcterms:created>
  <dcterms:modified xsi:type="dcterms:W3CDTF">2025-05-20T07:26:00Z</dcterms:modified>
</cp:coreProperties>
</file>