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67DCD" w14:textId="77777777" w:rsidR="00F468D1" w:rsidRPr="00B224B6" w:rsidRDefault="00F468D1" w:rsidP="00B224B6">
      <w:pPr>
        <w:spacing w:line="480" w:lineRule="auto"/>
        <w:ind w:firstLine="720"/>
        <w:jc w:val="center"/>
        <w:rPr>
          <w:b/>
          <w:bCs/>
        </w:rPr>
      </w:pPr>
    </w:p>
    <w:p w14:paraId="09AA434B" w14:textId="77777777" w:rsidR="00F468D1" w:rsidRPr="00B224B6" w:rsidRDefault="00F468D1" w:rsidP="00B224B6">
      <w:pPr>
        <w:spacing w:line="480" w:lineRule="auto"/>
        <w:ind w:firstLine="720"/>
        <w:jc w:val="center"/>
        <w:rPr>
          <w:b/>
          <w:bCs/>
        </w:rPr>
      </w:pPr>
    </w:p>
    <w:p w14:paraId="466FA396" w14:textId="77777777" w:rsidR="00F468D1" w:rsidRPr="00B224B6" w:rsidRDefault="00F468D1" w:rsidP="00B224B6">
      <w:pPr>
        <w:spacing w:line="480" w:lineRule="auto"/>
        <w:ind w:firstLine="720"/>
        <w:jc w:val="center"/>
        <w:rPr>
          <w:b/>
          <w:bCs/>
        </w:rPr>
      </w:pPr>
    </w:p>
    <w:p w14:paraId="0D8CF4B9" w14:textId="77777777" w:rsidR="00F468D1" w:rsidRPr="00B224B6" w:rsidRDefault="00F468D1" w:rsidP="00B224B6">
      <w:pPr>
        <w:spacing w:line="480" w:lineRule="auto"/>
        <w:ind w:firstLine="720"/>
        <w:jc w:val="center"/>
        <w:rPr>
          <w:b/>
          <w:bCs/>
        </w:rPr>
      </w:pPr>
    </w:p>
    <w:p w14:paraId="253C824D" w14:textId="733CF41A" w:rsidR="00286395" w:rsidRPr="00B224B6" w:rsidRDefault="00F378C4" w:rsidP="00F378C4">
      <w:pPr>
        <w:spacing w:line="480" w:lineRule="auto"/>
        <w:jc w:val="center"/>
        <w:rPr>
          <w:b/>
          <w:bCs/>
        </w:rPr>
      </w:pPr>
      <w:r>
        <w:rPr>
          <w:b/>
          <w:bCs/>
        </w:rPr>
        <w:t>BUS</w:t>
      </w:r>
      <w:r w:rsidR="00E53607">
        <w:rPr>
          <w:b/>
          <w:bCs/>
        </w:rPr>
        <w:t>530</w:t>
      </w:r>
      <w:r w:rsidR="003C7F15">
        <w:rPr>
          <w:b/>
          <w:bCs/>
        </w:rPr>
        <w:t xml:space="preserve"> </w:t>
      </w:r>
      <w:r w:rsidR="00B7451A">
        <w:rPr>
          <w:b/>
          <w:bCs/>
        </w:rPr>
        <w:t>SLP</w:t>
      </w:r>
      <w:r w:rsidR="006624AB">
        <w:rPr>
          <w:b/>
          <w:bCs/>
        </w:rPr>
        <w:t xml:space="preserve"> </w:t>
      </w:r>
      <w:r w:rsidR="00A34997">
        <w:rPr>
          <w:b/>
          <w:bCs/>
        </w:rPr>
        <w:t>2</w:t>
      </w:r>
    </w:p>
    <w:p w14:paraId="215330E4" w14:textId="77777777" w:rsidR="00286395" w:rsidRPr="00B224B6" w:rsidRDefault="00286395" w:rsidP="00B224B6">
      <w:pPr>
        <w:spacing w:line="480" w:lineRule="auto"/>
        <w:ind w:firstLine="720"/>
        <w:jc w:val="center"/>
      </w:pPr>
    </w:p>
    <w:p w14:paraId="0C9670E1" w14:textId="77777777" w:rsidR="00454CAF" w:rsidRDefault="00454CAF" w:rsidP="00F378C4">
      <w:pPr>
        <w:spacing w:line="480" w:lineRule="auto"/>
        <w:jc w:val="center"/>
      </w:pPr>
      <w:r>
        <w:t>Your Name</w:t>
      </w:r>
    </w:p>
    <w:p w14:paraId="02750D95" w14:textId="77777777" w:rsidR="00454CAF" w:rsidRDefault="00454CAF" w:rsidP="00F378C4">
      <w:pPr>
        <w:spacing w:line="480" w:lineRule="auto"/>
        <w:jc w:val="center"/>
      </w:pPr>
      <w:r>
        <w:t xml:space="preserve">Trident University International </w:t>
      </w:r>
    </w:p>
    <w:p w14:paraId="3002A249" w14:textId="2FF5EF84" w:rsidR="002C7462" w:rsidRDefault="002C7462" w:rsidP="00F378C4">
      <w:pPr>
        <w:spacing w:line="480" w:lineRule="auto"/>
        <w:jc w:val="center"/>
      </w:pPr>
      <w:r w:rsidRPr="002C7462">
        <w:t>BUS</w:t>
      </w:r>
      <w:r w:rsidR="00E53607">
        <w:t>530</w:t>
      </w:r>
      <w:r w:rsidRPr="002C7462">
        <w:t xml:space="preserve"> </w:t>
      </w:r>
      <w:r w:rsidR="00E53607">
        <w:t>Managerial Economics</w:t>
      </w:r>
    </w:p>
    <w:p w14:paraId="54C389E1" w14:textId="7A086B20" w:rsidR="00844EE7" w:rsidRPr="00B224B6" w:rsidRDefault="00454CAF" w:rsidP="00F378C4">
      <w:pPr>
        <w:spacing w:line="480" w:lineRule="auto"/>
        <w:jc w:val="center"/>
      </w:pPr>
      <w:r>
        <w:t>Due Date</w:t>
      </w:r>
    </w:p>
    <w:p w14:paraId="6C8D5EF8" w14:textId="56D46919" w:rsidR="003C7F15" w:rsidRPr="00B224B6" w:rsidRDefault="00352E8D" w:rsidP="003C7F15">
      <w:pPr>
        <w:spacing w:line="480" w:lineRule="auto"/>
        <w:jc w:val="center"/>
        <w:rPr>
          <w:b/>
          <w:bCs/>
        </w:rPr>
      </w:pPr>
      <w:r w:rsidRPr="00B224B6">
        <w:br w:type="page"/>
      </w:r>
    </w:p>
    <w:p w14:paraId="1DF862F2" w14:textId="053229B1" w:rsidR="00D200BF" w:rsidRPr="00B224B6" w:rsidRDefault="00F378C4" w:rsidP="00B224B6">
      <w:pPr>
        <w:spacing w:line="480" w:lineRule="auto"/>
        <w:jc w:val="center"/>
        <w:rPr>
          <w:b/>
          <w:bCs/>
        </w:rPr>
      </w:pPr>
      <w:r>
        <w:rPr>
          <w:b/>
          <w:bCs/>
        </w:rPr>
        <w:lastRenderedPageBreak/>
        <w:t>BUS</w:t>
      </w:r>
      <w:r w:rsidR="00E53607">
        <w:rPr>
          <w:b/>
          <w:bCs/>
        </w:rPr>
        <w:t>530</w:t>
      </w:r>
      <w:r w:rsidR="003C7F15">
        <w:rPr>
          <w:b/>
          <w:bCs/>
        </w:rPr>
        <w:t xml:space="preserve"> </w:t>
      </w:r>
      <w:r w:rsidR="00B7451A">
        <w:rPr>
          <w:b/>
          <w:bCs/>
        </w:rPr>
        <w:t>SLP</w:t>
      </w:r>
      <w:r w:rsidR="006624AB">
        <w:rPr>
          <w:b/>
          <w:bCs/>
        </w:rPr>
        <w:t xml:space="preserve"> </w:t>
      </w:r>
      <w:r w:rsidR="00A34997">
        <w:rPr>
          <w:b/>
          <w:bCs/>
        </w:rPr>
        <w:t>2</w:t>
      </w:r>
    </w:p>
    <w:p w14:paraId="6DF8AB33" w14:textId="69B7215D" w:rsidR="00155FA9" w:rsidRDefault="00C84DF0" w:rsidP="00155FA9">
      <w:pPr>
        <w:spacing w:line="480" w:lineRule="auto"/>
        <w:jc w:val="center"/>
        <w:rPr>
          <w:rFonts w:eastAsia="Calibri"/>
          <w:b/>
          <w:bCs/>
        </w:rPr>
      </w:pPr>
      <w:r>
        <w:rPr>
          <w:rFonts w:eastAsia="Calibri"/>
          <w:b/>
          <w:bCs/>
        </w:rPr>
        <w:t xml:space="preserve">Introduction </w:t>
      </w:r>
    </w:p>
    <w:p w14:paraId="430960B5" w14:textId="1C33124A" w:rsidR="00C84DF0" w:rsidRPr="00C84DF0" w:rsidRDefault="00C84DF0" w:rsidP="00EC635F">
      <w:pPr>
        <w:spacing w:line="480" w:lineRule="auto"/>
        <w:jc w:val="both"/>
        <w:rPr>
          <w:rFonts w:eastAsia="Calibri"/>
        </w:rPr>
      </w:pPr>
      <w:r w:rsidRPr="00C84DF0">
        <w:rPr>
          <w:rFonts w:eastAsia="Calibri"/>
        </w:rPr>
        <w:tab/>
        <w:t>Th</w:t>
      </w:r>
      <w:r w:rsidR="00013A65">
        <w:rPr>
          <w:rFonts w:eastAsia="Calibri"/>
        </w:rPr>
        <w:t xml:space="preserve">e report </w:t>
      </w:r>
      <w:r w:rsidR="00A47E5E">
        <w:rPr>
          <w:rFonts w:eastAsia="Calibri"/>
        </w:rPr>
        <w:t>illustrates</w:t>
      </w:r>
      <w:r w:rsidR="00013A65">
        <w:rPr>
          <w:rFonts w:eastAsia="Calibri"/>
        </w:rPr>
        <w:t xml:space="preserve"> the </w:t>
      </w:r>
      <w:r w:rsidRPr="00C84DF0">
        <w:rPr>
          <w:rFonts w:eastAsia="Calibri"/>
        </w:rPr>
        <w:t xml:space="preserve">economic dynamics surrounding Tin, classified under the PPI category 212290 (Other Metal Ore Mining), from a producer’s perspective. </w:t>
      </w:r>
      <w:r w:rsidR="00A47E5E">
        <w:rPr>
          <w:rFonts w:eastAsia="Calibri"/>
        </w:rPr>
        <w:t xml:space="preserve">However, it also tends to </w:t>
      </w:r>
      <w:r w:rsidR="00A47E5E" w:rsidRPr="00C84DF0">
        <w:rPr>
          <w:rFonts w:eastAsia="Calibri"/>
        </w:rPr>
        <w:t>examine</w:t>
      </w:r>
      <w:r w:rsidRPr="00C84DF0">
        <w:rPr>
          <w:rFonts w:eastAsia="Calibri"/>
        </w:rPr>
        <w:t xml:space="preserve"> recent market trends, shifts in producer prices, and the impact of supply and demand factors on production decisions</w:t>
      </w:r>
      <w:r w:rsidR="00E268F4">
        <w:rPr>
          <w:rFonts w:eastAsia="Calibri"/>
        </w:rPr>
        <w:t xml:space="preserve"> </w:t>
      </w:r>
      <w:r w:rsidR="00E268F4" w:rsidRPr="00E268F4">
        <w:rPr>
          <w:rFonts w:eastAsia="Calibri"/>
        </w:rPr>
        <w:t>(Chen &amp; Zhao, 2020)</w:t>
      </w:r>
      <w:r w:rsidRPr="00C84DF0">
        <w:rPr>
          <w:rFonts w:eastAsia="Calibri"/>
        </w:rPr>
        <w:t>.</w:t>
      </w:r>
    </w:p>
    <w:p w14:paraId="28BB74DB" w14:textId="15475E48" w:rsidR="00155FA9" w:rsidRDefault="00155FA9" w:rsidP="00155FA9">
      <w:pPr>
        <w:spacing w:line="480" w:lineRule="auto"/>
        <w:jc w:val="center"/>
        <w:rPr>
          <w:rFonts w:eastAsia="Calibri"/>
          <w:b/>
          <w:bCs/>
        </w:rPr>
      </w:pPr>
      <w:r w:rsidRPr="008038C2">
        <w:rPr>
          <w:rFonts w:eastAsia="Calibri"/>
          <w:b/>
          <w:bCs/>
        </w:rPr>
        <w:t>Economic Constraints</w:t>
      </w:r>
    </w:p>
    <w:p w14:paraId="74B9A215" w14:textId="5C0C057E" w:rsidR="00C84DF0" w:rsidRPr="00C84DF0" w:rsidRDefault="00C84DF0" w:rsidP="00EC635F">
      <w:pPr>
        <w:spacing w:line="480" w:lineRule="auto"/>
        <w:jc w:val="both"/>
        <w:rPr>
          <w:rFonts w:eastAsia="Calibri"/>
        </w:rPr>
      </w:pPr>
      <w:r>
        <w:rPr>
          <w:rFonts w:eastAsia="Calibri"/>
          <w:b/>
          <w:bCs/>
        </w:rPr>
        <w:tab/>
      </w:r>
      <w:r w:rsidR="00A47E5E">
        <w:rPr>
          <w:rFonts w:eastAsia="Calibri"/>
        </w:rPr>
        <w:t xml:space="preserve">It is evident from </w:t>
      </w:r>
      <w:r w:rsidRPr="00C84DF0">
        <w:rPr>
          <w:rFonts w:eastAsia="Calibri"/>
        </w:rPr>
        <w:t xml:space="preserve">2023 </w:t>
      </w:r>
      <w:r w:rsidR="00A47E5E">
        <w:rPr>
          <w:rFonts w:eastAsia="Calibri"/>
        </w:rPr>
        <w:t>to</w:t>
      </w:r>
      <w:r w:rsidRPr="00C84DF0">
        <w:rPr>
          <w:rFonts w:eastAsia="Calibri"/>
        </w:rPr>
        <w:t xml:space="preserve"> </w:t>
      </w:r>
      <w:r w:rsidR="00A47E5E" w:rsidRPr="00C84DF0">
        <w:rPr>
          <w:rFonts w:eastAsia="Calibri"/>
        </w:rPr>
        <w:t>2024 that</w:t>
      </w:r>
      <w:r w:rsidRPr="00C84DF0">
        <w:rPr>
          <w:rFonts w:eastAsia="Calibri"/>
        </w:rPr>
        <w:t xml:space="preserve"> the global tin market experienced significant fluctuations influenced by supply disruptions, demand variations, and price volatility. In </w:t>
      </w:r>
      <w:r w:rsidR="00A47E5E">
        <w:rPr>
          <w:rFonts w:eastAsia="Calibri"/>
        </w:rPr>
        <w:t xml:space="preserve">accordance with </w:t>
      </w:r>
      <w:r w:rsidRPr="00C84DF0">
        <w:rPr>
          <w:rFonts w:eastAsia="Calibri"/>
        </w:rPr>
        <w:t>2023, refined tin usage declined by 3.9% year-over-year, primarily due to reduced demand in the electronics and construction sectors, exacerbated by global economic challenges</w:t>
      </w:r>
      <w:r w:rsidR="00E268F4">
        <w:rPr>
          <w:rFonts w:eastAsia="Calibri"/>
        </w:rPr>
        <w:t xml:space="preserve"> </w:t>
      </w:r>
      <w:r w:rsidR="00E268F4" w:rsidRPr="00E268F4">
        <w:rPr>
          <w:rFonts w:eastAsia="Calibri"/>
        </w:rPr>
        <w:t>(Fernandez, 2023)</w:t>
      </w:r>
      <w:r w:rsidRPr="00C84DF0">
        <w:rPr>
          <w:rFonts w:eastAsia="Calibri"/>
        </w:rPr>
        <w:t xml:space="preserve">. </w:t>
      </w:r>
    </w:p>
    <w:p w14:paraId="108BE77C" w14:textId="14E84C5E" w:rsidR="00C84DF0" w:rsidRPr="00C84DF0" w:rsidRDefault="00C84DF0" w:rsidP="00EC635F">
      <w:pPr>
        <w:spacing w:line="480" w:lineRule="auto"/>
        <w:ind w:firstLine="720"/>
        <w:jc w:val="both"/>
        <w:rPr>
          <w:rFonts w:eastAsia="Calibri"/>
        </w:rPr>
      </w:pPr>
      <w:r w:rsidRPr="00C84DF0">
        <w:rPr>
          <w:rFonts w:eastAsia="Calibri"/>
        </w:rPr>
        <w:t>Despite the</w:t>
      </w:r>
      <w:r w:rsidR="00A47E5E">
        <w:rPr>
          <w:rFonts w:eastAsia="Calibri"/>
        </w:rPr>
        <w:t xml:space="preserve"> challenges because of various factors </w:t>
      </w:r>
      <w:r w:rsidRPr="00C84DF0">
        <w:rPr>
          <w:rFonts w:eastAsia="Calibri"/>
        </w:rPr>
        <w:t xml:space="preserve">in demand, tin prices surged in early 2024, with London Metal Exchange (LME) prices reaching $36,050 per metric ton in April, marking a 27% increase since January. </w:t>
      </w:r>
      <w:r w:rsidR="00A47E5E">
        <w:rPr>
          <w:rFonts w:eastAsia="Calibri"/>
        </w:rPr>
        <w:t>So, on the basis of that t</w:t>
      </w:r>
      <w:r w:rsidRPr="00C84DF0">
        <w:rPr>
          <w:rFonts w:eastAsia="Calibri"/>
        </w:rPr>
        <w:t>his price escalation was largely attributed to supply constraints, notably the suspension of the Man Maw mine in Myanmar, which accounts for approximately 7% of global tin output</w:t>
      </w:r>
      <w:r w:rsidR="00E268F4">
        <w:rPr>
          <w:rFonts w:eastAsia="Calibri"/>
        </w:rPr>
        <w:t xml:space="preserve"> </w:t>
      </w:r>
      <w:r w:rsidR="00E268F4" w:rsidRPr="00E268F4">
        <w:rPr>
          <w:rFonts w:eastAsia="Calibri"/>
        </w:rPr>
        <w:t>(Lee &amp; Kim, 2021)</w:t>
      </w:r>
      <w:r w:rsidRPr="00C84DF0">
        <w:rPr>
          <w:rFonts w:eastAsia="Calibri"/>
        </w:rPr>
        <w:t xml:space="preserve">. </w:t>
      </w:r>
      <w:r w:rsidR="00A47E5E">
        <w:rPr>
          <w:rFonts w:eastAsia="Calibri"/>
        </w:rPr>
        <w:t>However, on the other hand, regarding Indonesia</w:t>
      </w:r>
      <w:r w:rsidRPr="00C84DF0">
        <w:rPr>
          <w:rFonts w:eastAsia="Calibri"/>
        </w:rPr>
        <w:t xml:space="preserve">, the world's largest exporter of refined tin, saw a 33% drop in shipments in 2024 due to regulatory challenges. </w:t>
      </w:r>
    </w:p>
    <w:p w14:paraId="3DDBBD6F" w14:textId="22C558DF" w:rsidR="00C84DF0" w:rsidRPr="00C84DF0" w:rsidRDefault="00A47E5E" w:rsidP="00EC635F">
      <w:pPr>
        <w:spacing w:line="480" w:lineRule="auto"/>
        <w:ind w:firstLine="720"/>
        <w:jc w:val="both"/>
        <w:rPr>
          <w:rFonts w:eastAsia="Calibri"/>
        </w:rPr>
      </w:pPr>
      <w:r>
        <w:rPr>
          <w:rFonts w:eastAsia="Calibri"/>
        </w:rPr>
        <w:t xml:space="preserve">Based on the </w:t>
      </w:r>
      <w:r w:rsidR="00C84DF0" w:rsidRPr="00C84DF0">
        <w:rPr>
          <w:rFonts w:eastAsia="Calibri"/>
        </w:rPr>
        <w:t xml:space="preserve">supply shortages led to increased tin imports by China, the largest consumer, to compensate for the reduced raw material availability. </w:t>
      </w:r>
      <w:r>
        <w:rPr>
          <w:rFonts w:eastAsia="Calibri"/>
        </w:rPr>
        <w:t xml:space="preserve">Nevertheless, it also trends to include the </w:t>
      </w:r>
      <w:r w:rsidR="00C84DF0" w:rsidRPr="00C84DF0">
        <w:rPr>
          <w:rFonts w:eastAsia="Calibri"/>
        </w:rPr>
        <w:t>elevated prices and supply constraints did not significantly boost demand, as global consumption remained subdued</w:t>
      </w:r>
      <w:r w:rsidR="00E268F4">
        <w:rPr>
          <w:rFonts w:eastAsia="Calibri"/>
        </w:rPr>
        <w:t xml:space="preserve"> </w:t>
      </w:r>
      <w:r w:rsidR="00E268F4" w:rsidRPr="00E268F4">
        <w:rPr>
          <w:rFonts w:eastAsia="Calibri"/>
        </w:rPr>
        <w:t>(Wang &amp; Zhang, 2022)</w:t>
      </w:r>
      <w:r w:rsidR="00C84DF0" w:rsidRPr="00C84DF0">
        <w:rPr>
          <w:rFonts w:eastAsia="Calibri"/>
        </w:rPr>
        <w:t>.</w:t>
      </w:r>
    </w:p>
    <w:p w14:paraId="0081681B" w14:textId="358EA899" w:rsidR="00155FA9" w:rsidRDefault="00155FA9" w:rsidP="00155FA9">
      <w:pPr>
        <w:spacing w:line="480" w:lineRule="auto"/>
        <w:jc w:val="center"/>
        <w:rPr>
          <w:rFonts w:eastAsia="Calibri"/>
          <w:b/>
          <w:bCs/>
        </w:rPr>
      </w:pPr>
      <w:r>
        <w:rPr>
          <w:rFonts w:eastAsia="Calibri"/>
          <w:b/>
          <w:bCs/>
        </w:rPr>
        <w:lastRenderedPageBreak/>
        <w:t>Producer Price Index</w:t>
      </w:r>
    </w:p>
    <w:p w14:paraId="75B52E81" w14:textId="26E68027" w:rsidR="00C84DF0" w:rsidRDefault="00C84DF0" w:rsidP="00EC635F">
      <w:pPr>
        <w:spacing w:line="480" w:lineRule="auto"/>
        <w:jc w:val="both"/>
        <w:rPr>
          <w:rFonts w:eastAsia="Calibri"/>
        </w:rPr>
      </w:pPr>
      <w:r>
        <w:rPr>
          <w:rFonts w:eastAsia="Calibri"/>
          <w:b/>
          <w:bCs/>
        </w:rPr>
        <w:tab/>
      </w:r>
      <w:r w:rsidR="00A47E5E">
        <w:rPr>
          <w:rFonts w:eastAsia="Calibri"/>
        </w:rPr>
        <w:t xml:space="preserve">It is evident from the recent studies that the </w:t>
      </w:r>
      <w:r w:rsidRPr="00C84DF0">
        <w:rPr>
          <w:rFonts w:eastAsia="Calibri"/>
        </w:rPr>
        <w:t xml:space="preserve">Producer Price Index (PPI) for Tin (PPI category 212290 – Other Metal Ore Mining) showed a clear upward trend over the first four months of 2024. </w:t>
      </w:r>
      <w:r w:rsidR="00A47E5E">
        <w:rPr>
          <w:rFonts w:eastAsia="Calibri"/>
        </w:rPr>
        <w:t xml:space="preserve">Based on the </w:t>
      </w:r>
      <w:r w:rsidRPr="00C84DF0">
        <w:rPr>
          <w:rFonts w:eastAsia="Calibri"/>
        </w:rPr>
        <w:t>U.S. Bureau of Labor Statistics (2024), the PPI index began at 217.5 in January and steadily increased each month, reaching 228.7 in April</w:t>
      </w:r>
      <w:r w:rsidR="00A47E5E">
        <w:rPr>
          <w:rFonts w:eastAsia="Calibri"/>
        </w:rPr>
        <w:t xml:space="preserve"> and t</w:t>
      </w:r>
      <w:r w:rsidRPr="00C84DF0">
        <w:rPr>
          <w:rFonts w:eastAsia="Calibri"/>
        </w:rPr>
        <w:t xml:space="preserve">his represents a cumulative rise of approximately 5.2% over the four-month period. </w:t>
      </w:r>
      <w:r w:rsidR="00A47E5E">
        <w:rPr>
          <w:rFonts w:eastAsia="Calibri"/>
        </w:rPr>
        <w:t xml:space="preserve">However, one of the most critical </w:t>
      </w:r>
      <w:r w:rsidRPr="00C84DF0">
        <w:rPr>
          <w:rFonts w:eastAsia="Calibri"/>
        </w:rPr>
        <w:t xml:space="preserve">monthly </w:t>
      </w:r>
      <w:r w:rsidR="00A47E5E" w:rsidRPr="00C84DF0">
        <w:rPr>
          <w:rFonts w:eastAsia="Calibri"/>
        </w:rPr>
        <w:t>increases</w:t>
      </w:r>
      <w:r w:rsidRPr="00C84DF0">
        <w:rPr>
          <w:rFonts w:eastAsia="Calibri"/>
        </w:rPr>
        <w:t xml:space="preserve"> occurred between January and February, where the index jumped by 4.8 points, or roughly 2.2%.</w:t>
      </w:r>
    </w:p>
    <w:p w14:paraId="667C9D6C" w14:textId="6377DD9C" w:rsidR="00A47E5E" w:rsidRDefault="00A47E5E" w:rsidP="00C84DF0">
      <w:pPr>
        <w:spacing w:line="480" w:lineRule="auto"/>
        <w:rPr>
          <w:rFonts w:eastAsia="Calibri"/>
        </w:rPr>
      </w:pPr>
      <w:r>
        <w:rPr>
          <w:rFonts w:eastAsia="Calibri"/>
          <w:noProof/>
        </w:rPr>
        <w:drawing>
          <wp:inline distT="0" distB="0" distL="0" distR="0" wp14:anchorId="087D9054" wp14:editId="3E2E1176">
            <wp:extent cx="5943600" cy="3714750"/>
            <wp:effectExtent l="0" t="0" r="0" b="0"/>
            <wp:docPr id="6677092" name="Picture 1" descr="A graph with a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7092" name="Picture 1" descr="A graph with a line&#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3714750"/>
                    </a:xfrm>
                    <a:prstGeom prst="rect">
                      <a:avLst/>
                    </a:prstGeom>
                  </pic:spPr>
                </pic:pic>
              </a:graphicData>
            </a:graphic>
          </wp:inline>
        </w:drawing>
      </w:r>
    </w:p>
    <w:p w14:paraId="6A9276D0" w14:textId="06E369FA" w:rsidR="00A47E5E" w:rsidRPr="00C84DF0" w:rsidRDefault="00A47E5E" w:rsidP="00EC635F">
      <w:pPr>
        <w:pStyle w:val="Caption"/>
        <w:jc w:val="center"/>
        <w:rPr>
          <w:rFonts w:eastAsia="Calibri"/>
        </w:rPr>
      </w:pPr>
      <w:r>
        <w:t xml:space="preserve">Figure </w:t>
      </w:r>
      <w:r w:rsidR="00EB0E03">
        <w:fldChar w:fldCharType="begin"/>
      </w:r>
      <w:r w:rsidR="00EB0E03">
        <w:instrText xml:space="preserve"> SEQ Figure \* ARABIC </w:instrText>
      </w:r>
      <w:r w:rsidR="00EB0E03">
        <w:fldChar w:fldCharType="separate"/>
      </w:r>
      <w:r>
        <w:rPr>
          <w:noProof/>
        </w:rPr>
        <w:t>1</w:t>
      </w:r>
      <w:r w:rsidR="00EB0E03">
        <w:rPr>
          <w:noProof/>
        </w:rPr>
        <w:fldChar w:fldCharType="end"/>
      </w:r>
      <w:r>
        <w:t xml:space="preserve">: </w:t>
      </w:r>
      <w:r w:rsidRPr="00A47E5E">
        <w:rPr>
          <w:rFonts w:eastAsia="Calibri"/>
        </w:rPr>
        <w:t>PPI Trend for Tin (Jan–Apr 2024). Source: U.S. Bureau of Labor Statistics (2024)</w:t>
      </w:r>
    </w:p>
    <w:p w14:paraId="42C5EF1E" w14:textId="0AD0C17B" w:rsidR="00C84DF0" w:rsidRPr="00C84DF0" w:rsidRDefault="00A47E5E" w:rsidP="009B75FF">
      <w:pPr>
        <w:spacing w:line="480" w:lineRule="auto"/>
        <w:ind w:firstLine="720"/>
        <w:jc w:val="both"/>
        <w:rPr>
          <w:rFonts w:eastAsia="Calibri"/>
        </w:rPr>
      </w:pPr>
      <w:r>
        <w:rPr>
          <w:rFonts w:eastAsia="Calibri"/>
        </w:rPr>
        <w:t>According to t</w:t>
      </w:r>
      <w:r w:rsidR="00C84DF0" w:rsidRPr="00C84DF0">
        <w:rPr>
          <w:rFonts w:eastAsia="Calibri"/>
        </w:rPr>
        <w:t xml:space="preserve">his upward movement in PPI indicates rising production costs for tin producers, which could be attributed to several factors including reduced global supply, increased import costs, and regulatory hurdles in major tin-producing countries such as Myanmar and Indonesia. </w:t>
      </w:r>
      <w:r>
        <w:rPr>
          <w:rFonts w:eastAsia="Calibri"/>
        </w:rPr>
        <w:t xml:space="preserve">As per the analysis which tends to suggest that the </w:t>
      </w:r>
      <w:r w:rsidR="00C84DF0" w:rsidRPr="00C84DF0">
        <w:rPr>
          <w:rFonts w:eastAsia="Calibri"/>
        </w:rPr>
        <w:t xml:space="preserve">economic standpoint, this </w:t>
      </w:r>
      <w:r w:rsidR="00C84DF0" w:rsidRPr="00C84DF0">
        <w:rPr>
          <w:rFonts w:eastAsia="Calibri"/>
        </w:rPr>
        <w:lastRenderedPageBreak/>
        <w:t>trend reflects cost-push inflation, where supply-side constraints drive up the costs of inputs, consequently increasing producer prices (Mankiw, 2021).</w:t>
      </w:r>
    </w:p>
    <w:p w14:paraId="76C768E8" w14:textId="6496AF5C" w:rsidR="00C84DF0" w:rsidRPr="00C84DF0" w:rsidRDefault="00A47E5E" w:rsidP="009B75FF">
      <w:pPr>
        <w:spacing w:line="480" w:lineRule="auto"/>
        <w:ind w:firstLine="720"/>
        <w:jc w:val="both"/>
        <w:rPr>
          <w:rFonts w:eastAsia="Calibri"/>
        </w:rPr>
      </w:pPr>
      <w:r>
        <w:rPr>
          <w:rFonts w:eastAsia="Calibri"/>
        </w:rPr>
        <w:t>Based on the h</w:t>
      </w:r>
      <w:r w:rsidR="00C84DF0" w:rsidRPr="00C84DF0">
        <w:rPr>
          <w:rFonts w:eastAsia="Calibri"/>
        </w:rPr>
        <w:t xml:space="preserve">igher PPI values may also indicate a tighter supply environment, which puts upward pressure on prices and narrows profit margins for downstream users of tin. </w:t>
      </w:r>
      <w:r>
        <w:rPr>
          <w:rFonts w:eastAsia="Calibri"/>
        </w:rPr>
        <w:t>However, one of the major examples tends to include regarding the</w:t>
      </w:r>
      <w:r w:rsidR="00C84DF0" w:rsidRPr="00C84DF0">
        <w:rPr>
          <w:rFonts w:eastAsia="Calibri"/>
        </w:rPr>
        <w:t xml:space="preserve"> conditions</w:t>
      </w:r>
      <w:r>
        <w:rPr>
          <w:rFonts w:eastAsia="Calibri"/>
        </w:rPr>
        <w:t xml:space="preserve"> which</w:t>
      </w:r>
      <w:r w:rsidR="00C84DF0" w:rsidRPr="00C84DF0">
        <w:rPr>
          <w:rFonts w:eastAsia="Calibri"/>
        </w:rPr>
        <w:t xml:space="preserve"> could eventually be passed on to consumers in the form of higher prices, assuming demand remains relatively inelastic. </w:t>
      </w:r>
      <w:r>
        <w:rPr>
          <w:rFonts w:eastAsia="Calibri"/>
        </w:rPr>
        <w:t>Because of various challenges and factors, i</w:t>
      </w:r>
      <w:r w:rsidR="00C84DF0" w:rsidRPr="00C84DF0">
        <w:rPr>
          <w:rFonts w:eastAsia="Calibri"/>
        </w:rPr>
        <w:t>f prolonged, sustained increases in PPI could lead producers to reevaluate production scales or seek alternative input sources to maintain profitability.</w:t>
      </w:r>
    </w:p>
    <w:p w14:paraId="7A185D4A" w14:textId="46608FA1" w:rsidR="00155FA9" w:rsidRDefault="00155FA9" w:rsidP="00155FA9">
      <w:pPr>
        <w:spacing w:line="480" w:lineRule="auto"/>
        <w:jc w:val="center"/>
        <w:rPr>
          <w:rFonts w:eastAsia="Calibri"/>
          <w:b/>
          <w:bCs/>
        </w:rPr>
      </w:pPr>
      <w:r>
        <w:rPr>
          <w:rFonts w:eastAsia="Calibri"/>
          <w:b/>
          <w:bCs/>
        </w:rPr>
        <w:t>PPI Analysis</w:t>
      </w:r>
    </w:p>
    <w:p w14:paraId="058C16C3" w14:textId="1F07487C" w:rsidR="00C84DF0" w:rsidRPr="00C84DF0" w:rsidRDefault="00C84DF0" w:rsidP="009B75FF">
      <w:pPr>
        <w:spacing w:line="480" w:lineRule="auto"/>
        <w:jc w:val="both"/>
        <w:rPr>
          <w:rFonts w:eastAsia="Calibri"/>
        </w:rPr>
      </w:pPr>
      <w:r>
        <w:rPr>
          <w:rFonts w:eastAsia="Calibri"/>
          <w:b/>
          <w:bCs/>
        </w:rPr>
        <w:tab/>
      </w:r>
      <w:r w:rsidR="00A47E5E">
        <w:rPr>
          <w:rFonts w:eastAsia="Calibri"/>
        </w:rPr>
        <w:t>Based on the t</w:t>
      </w:r>
      <w:r w:rsidRPr="00C84DF0">
        <w:rPr>
          <w:rFonts w:eastAsia="Calibri"/>
        </w:rPr>
        <w:t xml:space="preserve">in </w:t>
      </w:r>
      <w:r w:rsidR="00A47E5E" w:rsidRPr="00C84DF0">
        <w:rPr>
          <w:rFonts w:eastAsia="Calibri"/>
        </w:rPr>
        <w:t>producers,</w:t>
      </w:r>
      <w:r w:rsidRPr="00C84DF0">
        <w:rPr>
          <w:rFonts w:eastAsia="Calibri"/>
        </w:rPr>
        <w:t xml:space="preserve"> </w:t>
      </w:r>
      <w:r w:rsidR="00A47E5E">
        <w:rPr>
          <w:rFonts w:eastAsia="Calibri"/>
        </w:rPr>
        <w:t xml:space="preserve">which tend to </w:t>
      </w:r>
      <w:r w:rsidRPr="00C84DF0">
        <w:rPr>
          <w:rFonts w:eastAsia="Calibri"/>
        </w:rPr>
        <w:t xml:space="preserve">have responded to recent market fluctuations by adjusting production strategies in response to both price volatility and demand uncertainty. </w:t>
      </w:r>
      <w:r w:rsidR="00A47E5E">
        <w:rPr>
          <w:rFonts w:eastAsia="Calibri"/>
        </w:rPr>
        <w:t>It is evident from the studies that the</w:t>
      </w:r>
      <w:r w:rsidRPr="00C84DF0">
        <w:rPr>
          <w:rFonts w:eastAsia="Calibri"/>
        </w:rPr>
        <w:t xml:space="preserve"> global tin prices surged due to supply shocks—namely mine closures in Myanmar and export disruptions in Indonesia—producers faced increased marginal costs of production</w:t>
      </w:r>
      <w:r w:rsidR="00A47E5E">
        <w:rPr>
          <w:rFonts w:eastAsia="Calibri"/>
        </w:rPr>
        <w:t xml:space="preserve"> and t</w:t>
      </w:r>
      <w:r w:rsidRPr="00C84DF0">
        <w:rPr>
          <w:rFonts w:eastAsia="Calibri"/>
        </w:rPr>
        <w:t>hese rising input costs, coupled with limited short-run supply elasticity, meant that producers could not easily scale up output in response to higher prices, thereby amplifying the upward pressure on market prices (Mankiw, 2021).</w:t>
      </w:r>
    </w:p>
    <w:p w14:paraId="6A51D7BB" w14:textId="2C373D54" w:rsidR="00C84DF0" w:rsidRPr="00C84DF0" w:rsidRDefault="00C84DF0" w:rsidP="009B75FF">
      <w:pPr>
        <w:spacing w:line="480" w:lineRule="auto"/>
        <w:ind w:firstLine="720"/>
        <w:jc w:val="both"/>
        <w:rPr>
          <w:rFonts w:eastAsia="Calibri"/>
        </w:rPr>
      </w:pPr>
      <w:r w:rsidRPr="00C84DF0">
        <w:rPr>
          <w:rFonts w:eastAsia="Calibri"/>
        </w:rPr>
        <w:t xml:space="preserve">In </w:t>
      </w:r>
      <w:r w:rsidR="00A47E5E">
        <w:rPr>
          <w:rFonts w:eastAsia="Calibri"/>
        </w:rPr>
        <w:t xml:space="preserve">accordance with </w:t>
      </w:r>
      <w:r w:rsidRPr="00C84DF0">
        <w:rPr>
          <w:rFonts w:eastAsia="Calibri"/>
        </w:rPr>
        <w:t xml:space="preserve">the face of reduced demand, especially from the electronics and construction sectors, some producers curtailed operations to prevent excess inventory </w:t>
      </w:r>
      <w:r w:rsidR="00A47E5E" w:rsidRPr="00C84DF0">
        <w:rPr>
          <w:rFonts w:eastAsia="Calibri"/>
        </w:rPr>
        <w:t>buildup,</w:t>
      </w:r>
      <w:r w:rsidR="00A47E5E">
        <w:rPr>
          <w:rFonts w:eastAsia="Calibri"/>
        </w:rPr>
        <w:t xml:space="preserve"> and t</w:t>
      </w:r>
      <w:r w:rsidRPr="00C84DF0">
        <w:rPr>
          <w:rFonts w:eastAsia="Calibri"/>
        </w:rPr>
        <w:t xml:space="preserve">his behavior aligns with profit-maximizing principles, where firms operate where marginal cost equals marginal revenue. </w:t>
      </w:r>
      <w:r w:rsidR="00A47E5E">
        <w:rPr>
          <w:rFonts w:eastAsia="Calibri"/>
        </w:rPr>
        <w:t>Based on the g</w:t>
      </w:r>
      <w:r w:rsidRPr="00C84DF0">
        <w:rPr>
          <w:rFonts w:eastAsia="Calibri"/>
        </w:rPr>
        <w:t>iven the relatively inelastic supply in the short term and sluggish demand recovery, producers maintained cautious output levels to avoid overextending resources during periods of low consumer uptake.</w:t>
      </w:r>
    </w:p>
    <w:p w14:paraId="58D89070" w14:textId="5E2BA7AF" w:rsidR="00C84DF0" w:rsidRPr="00C84DF0" w:rsidRDefault="00A47E5E" w:rsidP="00566D9F">
      <w:pPr>
        <w:spacing w:line="480" w:lineRule="auto"/>
        <w:ind w:firstLine="720"/>
        <w:jc w:val="both"/>
        <w:rPr>
          <w:rFonts w:eastAsia="Calibri"/>
        </w:rPr>
      </w:pPr>
      <w:r>
        <w:rPr>
          <w:rFonts w:eastAsia="Calibri"/>
        </w:rPr>
        <w:lastRenderedPageBreak/>
        <w:t xml:space="preserve">It is </w:t>
      </w:r>
      <w:proofErr w:type="spellStart"/>
      <w:r>
        <w:rPr>
          <w:rFonts w:eastAsia="Calibri"/>
        </w:rPr>
        <w:t>analysed</w:t>
      </w:r>
      <w:proofErr w:type="spellEnd"/>
      <w:r>
        <w:rPr>
          <w:rFonts w:eastAsia="Calibri"/>
        </w:rPr>
        <w:t xml:space="preserve"> from recent research that some</w:t>
      </w:r>
      <w:r w:rsidR="00C84DF0" w:rsidRPr="00C84DF0">
        <w:rPr>
          <w:rFonts w:eastAsia="Calibri"/>
        </w:rPr>
        <w:t xml:space="preserve"> producers sought to mitigate risk by diversifying supply chains and negotiating more flexible trade arrangements to adapt to geopolitical and regulatory uncertainties. </w:t>
      </w:r>
      <w:r>
        <w:rPr>
          <w:rFonts w:eastAsia="Calibri"/>
        </w:rPr>
        <w:t>On the basis of t</w:t>
      </w:r>
      <w:r w:rsidR="00C84DF0" w:rsidRPr="00C84DF0">
        <w:rPr>
          <w:rFonts w:eastAsia="Calibri"/>
        </w:rPr>
        <w:t xml:space="preserve">hese strategies </w:t>
      </w:r>
      <w:r>
        <w:rPr>
          <w:rFonts w:eastAsia="Calibri"/>
        </w:rPr>
        <w:t xml:space="preserve">which tends to </w:t>
      </w:r>
      <w:r w:rsidR="00C84DF0" w:rsidRPr="00C84DF0">
        <w:rPr>
          <w:rFonts w:eastAsia="Calibri"/>
        </w:rPr>
        <w:t>reflect rational firm behavior in a volatile commodity market, where producers must constantly assess opportunity costs and weigh the trade-offs of continued investment in exploration, mining, and refinement operations.</w:t>
      </w:r>
    </w:p>
    <w:p w14:paraId="7F79F8D8" w14:textId="4F8B2F35" w:rsidR="000455F6" w:rsidRDefault="000455F6" w:rsidP="00F475E5">
      <w:pPr>
        <w:pStyle w:val="Blockquote"/>
        <w:spacing w:before="0" w:after="0" w:line="480" w:lineRule="auto"/>
        <w:ind w:left="0" w:right="0"/>
        <w:jc w:val="center"/>
        <w:rPr>
          <w:b/>
          <w:color w:val="000000"/>
          <w:szCs w:val="24"/>
        </w:rPr>
      </w:pPr>
      <w:r w:rsidRPr="00B224B6">
        <w:rPr>
          <w:b/>
          <w:color w:val="000000"/>
          <w:szCs w:val="24"/>
        </w:rPr>
        <w:t>Conclusion</w:t>
      </w:r>
    </w:p>
    <w:p w14:paraId="6B3EFC30" w14:textId="1275620E" w:rsidR="00C84DF0" w:rsidRPr="00C84DF0" w:rsidRDefault="00A47E5E" w:rsidP="00566D9F">
      <w:pPr>
        <w:pStyle w:val="Blockquote"/>
        <w:spacing w:before="0" w:after="0" w:line="480" w:lineRule="auto"/>
        <w:ind w:left="0" w:firstLine="720"/>
        <w:jc w:val="both"/>
        <w:rPr>
          <w:bCs/>
          <w:color w:val="000000"/>
        </w:rPr>
      </w:pPr>
      <w:r>
        <w:rPr>
          <w:bCs/>
          <w:color w:val="000000"/>
        </w:rPr>
        <w:t xml:space="preserve">According to the above analysis which tends to conclude that </w:t>
      </w:r>
      <w:r w:rsidR="00C84DF0" w:rsidRPr="00C84DF0">
        <w:rPr>
          <w:bCs/>
          <w:color w:val="000000"/>
        </w:rPr>
        <w:t xml:space="preserve">the tin market in 2023–2024 has been shaped by significant supply disruptions, rising production costs, and lagging demand recovery. </w:t>
      </w:r>
      <w:r>
        <w:rPr>
          <w:bCs/>
          <w:color w:val="000000"/>
        </w:rPr>
        <w:t>Based on adaptive</w:t>
      </w:r>
      <w:r w:rsidR="00C84DF0" w:rsidRPr="00C84DF0">
        <w:rPr>
          <w:bCs/>
          <w:color w:val="000000"/>
        </w:rPr>
        <w:t xml:space="preserve"> strategies and cost management, producers have navigated these economic challenges using key principles such as elasticity, marginal cost analysis, and supply-side adjustments</w:t>
      </w:r>
      <w:r>
        <w:rPr>
          <w:bCs/>
          <w:color w:val="000000"/>
        </w:rPr>
        <w:t>. On the basis of t</w:t>
      </w:r>
      <w:r w:rsidR="00C84DF0" w:rsidRPr="00C84DF0">
        <w:rPr>
          <w:bCs/>
          <w:color w:val="000000"/>
        </w:rPr>
        <w:t>hese responses highlight the complex decision-making required to remain competitive in a volatile global commodities market.</w:t>
      </w:r>
    </w:p>
    <w:p w14:paraId="5FC249A1" w14:textId="77777777" w:rsidR="000455F6" w:rsidRPr="00B224B6" w:rsidRDefault="000455F6" w:rsidP="00566D9F">
      <w:pPr>
        <w:tabs>
          <w:tab w:val="left" w:pos="360"/>
        </w:tabs>
        <w:overflowPunct w:val="0"/>
        <w:autoSpaceDE w:val="0"/>
        <w:autoSpaceDN w:val="0"/>
        <w:adjustRightInd w:val="0"/>
        <w:spacing w:line="480" w:lineRule="auto"/>
        <w:ind w:left="-360"/>
        <w:jc w:val="both"/>
        <w:textAlignment w:val="baseline"/>
        <w:rPr>
          <w:color w:val="000000"/>
          <w:highlight w:val="yellow"/>
        </w:rPr>
      </w:pPr>
      <w:r w:rsidRPr="00B224B6">
        <w:rPr>
          <w:color w:val="000000"/>
        </w:rPr>
        <w:br w:type="page"/>
      </w:r>
      <w:r w:rsidRPr="00B224B6">
        <w:rPr>
          <w:b/>
          <w:color w:val="000000"/>
        </w:rPr>
        <w:lastRenderedPageBreak/>
        <w:t>References</w:t>
      </w:r>
    </w:p>
    <w:p w14:paraId="1382451B" w14:textId="77777777" w:rsidR="00BE77BB" w:rsidRPr="00C84DF0" w:rsidRDefault="00BE77BB" w:rsidP="00BE77BB">
      <w:pPr>
        <w:spacing w:line="480" w:lineRule="auto"/>
        <w:ind w:left="720" w:hanging="720"/>
        <w:jc w:val="both"/>
        <w:rPr>
          <w:color w:val="000000"/>
        </w:rPr>
      </w:pPr>
      <w:r w:rsidRPr="00C84DF0">
        <w:rPr>
          <w:color w:val="000000"/>
        </w:rPr>
        <w:t xml:space="preserve">Chen, X., &amp; Zhao, Y. (2020). Price elasticity of supply and risk management in the global mining sector. </w:t>
      </w:r>
      <w:r w:rsidRPr="00C84DF0">
        <w:rPr>
          <w:i/>
          <w:iCs/>
          <w:color w:val="000000"/>
        </w:rPr>
        <w:t>Journal of Commodity Markets</w:t>
      </w:r>
      <w:r w:rsidRPr="00C84DF0">
        <w:rPr>
          <w:color w:val="000000"/>
        </w:rPr>
        <w:t>, 18, 100125.</w:t>
      </w:r>
    </w:p>
    <w:p w14:paraId="07A1D4C9" w14:textId="77777777" w:rsidR="00BE77BB" w:rsidRDefault="00BE77BB" w:rsidP="00BE77BB">
      <w:pPr>
        <w:spacing w:line="480" w:lineRule="auto"/>
        <w:ind w:left="720" w:hanging="720"/>
        <w:jc w:val="both"/>
        <w:rPr>
          <w:color w:val="000000"/>
        </w:rPr>
      </w:pPr>
      <w:r w:rsidRPr="00C84DF0">
        <w:rPr>
          <w:color w:val="000000"/>
        </w:rPr>
        <w:t xml:space="preserve">Fernandez, V. R. (2023). Global commodity shocks and supply chain disruptions: Implications for resource-exporting countries. </w:t>
      </w:r>
      <w:r w:rsidRPr="00C84DF0">
        <w:rPr>
          <w:i/>
          <w:iCs/>
          <w:color w:val="000000"/>
        </w:rPr>
        <w:t>Journal of International Economics and Trade Policy</w:t>
      </w:r>
      <w:r w:rsidRPr="00C84DF0">
        <w:rPr>
          <w:color w:val="000000"/>
        </w:rPr>
        <w:t>, 14(2),</w:t>
      </w:r>
    </w:p>
    <w:p w14:paraId="666CCA6E" w14:textId="77777777" w:rsidR="00BE77BB" w:rsidRDefault="00BE77BB" w:rsidP="00BE77BB">
      <w:pPr>
        <w:spacing w:line="480" w:lineRule="auto"/>
        <w:ind w:left="720" w:hanging="720"/>
        <w:jc w:val="both"/>
        <w:rPr>
          <w:color w:val="000000"/>
        </w:rPr>
      </w:pPr>
      <w:r w:rsidRPr="00C84DF0">
        <w:rPr>
          <w:color w:val="000000"/>
        </w:rPr>
        <w:t xml:space="preserve">Lee, C., &amp; Kim, D. (2021). An empirical study of PPI volatility and cost-push inflation in extractive industries. </w:t>
      </w:r>
      <w:r w:rsidRPr="00C84DF0">
        <w:rPr>
          <w:i/>
          <w:iCs/>
          <w:color w:val="000000"/>
        </w:rPr>
        <w:t>Energy Economics Review</w:t>
      </w:r>
      <w:r w:rsidRPr="00C84DF0">
        <w:rPr>
          <w:color w:val="000000"/>
        </w:rPr>
        <w:t>, 45(3), 289–305.</w:t>
      </w:r>
    </w:p>
    <w:p w14:paraId="769ECCA1" w14:textId="77777777" w:rsidR="00BE77BB" w:rsidRDefault="00BE77BB" w:rsidP="00BE77BB">
      <w:pPr>
        <w:spacing w:line="480" w:lineRule="auto"/>
        <w:ind w:left="720" w:hanging="720"/>
        <w:jc w:val="both"/>
        <w:rPr>
          <w:color w:val="000000"/>
        </w:rPr>
      </w:pPr>
      <w:r w:rsidRPr="00C84DF0">
        <w:rPr>
          <w:color w:val="000000"/>
        </w:rPr>
        <w:t xml:space="preserve">Mankiw, N. G. (2021). </w:t>
      </w:r>
      <w:r w:rsidRPr="00C84DF0">
        <w:rPr>
          <w:i/>
          <w:iCs/>
          <w:color w:val="000000"/>
        </w:rPr>
        <w:t>Principles of economics</w:t>
      </w:r>
      <w:r w:rsidRPr="00C84DF0">
        <w:rPr>
          <w:color w:val="000000"/>
        </w:rPr>
        <w:t xml:space="preserve"> (9th ed.). Cengage Learning.</w:t>
      </w:r>
    </w:p>
    <w:p w14:paraId="451D2131" w14:textId="77777777" w:rsidR="00BE77BB" w:rsidRDefault="00BE77BB" w:rsidP="00BE77BB">
      <w:pPr>
        <w:spacing w:line="480" w:lineRule="auto"/>
        <w:ind w:left="720" w:hanging="720"/>
        <w:jc w:val="both"/>
        <w:rPr>
          <w:color w:val="000000"/>
        </w:rPr>
      </w:pPr>
      <w:r w:rsidRPr="00C84DF0">
        <w:rPr>
          <w:color w:val="000000"/>
        </w:rPr>
        <w:t xml:space="preserve">Wang, J., &amp; Zhang, H. (2022). Market structure and price transmission in metal commodity markets: Evidence from tin. </w:t>
      </w:r>
      <w:r w:rsidRPr="00C84DF0">
        <w:rPr>
          <w:i/>
          <w:iCs/>
          <w:color w:val="000000"/>
        </w:rPr>
        <w:t>Resources Policy</w:t>
      </w:r>
      <w:r w:rsidRPr="00C84DF0">
        <w:rPr>
          <w:color w:val="000000"/>
        </w:rPr>
        <w:t>, 76, 102623.</w:t>
      </w:r>
    </w:p>
    <w:p w14:paraId="28171744" w14:textId="77777777" w:rsidR="000455F6" w:rsidRPr="00B224B6" w:rsidRDefault="000455F6" w:rsidP="003F62B7">
      <w:pPr>
        <w:spacing w:line="480" w:lineRule="auto"/>
        <w:rPr>
          <w:color w:val="000000"/>
        </w:rPr>
      </w:pPr>
    </w:p>
    <w:p w14:paraId="18E46060" w14:textId="77777777" w:rsidR="000455F6" w:rsidRPr="00B224B6" w:rsidRDefault="000455F6" w:rsidP="00B224B6">
      <w:pPr>
        <w:spacing w:line="480" w:lineRule="auto"/>
        <w:rPr>
          <w:color w:val="000000"/>
        </w:rPr>
      </w:pPr>
    </w:p>
    <w:p w14:paraId="0C520018" w14:textId="77777777" w:rsidR="00A42F13" w:rsidRPr="00B224B6" w:rsidRDefault="00A42F13" w:rsidP="00B224B6">
      <w:pPr>
        <w:spacing w:line="480" w:lineRule="auto"/>
        <w:jc w:val="center"/>
        <w:rPr>
          <w:color w:val="000000"/>
        </w:rPr>
      </w:pPr>
    </w:p>
    <w:sectPr w:rsidR="00A42F13" w:rsidRPr="00B224B6" w:rsidSect="003F5158">
      <w:headerReference w:type="default" r:id="rId9"/>
      <w:headerReference w:type="first" r:id="rId10"/>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595D5" w14:textId="77777777" w:rsidR="00EB0E03" w:rsidRDefault="00EB0E03">
      <w:r>
        <w:separator/>
      </w:r>
    </w:p>
  </w:endnote>
  <w:endnote w:type="continuationSeparator" w:id="0">
    <w:p w14:paraId="21C3E952" w14:textId="77777777" w:rsidR="00EB0E03" w:rsidRDefault="00EB0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12D75" w14:textId="77777777" w:rsidR="00EB0E03" w:rsidRDefault="00EB0E03">
      <w:r>
        <w:separator/>
      </w:r>
    </w:p>
  </w:footnote>
  <w:footnote w:type="continuationSeparator" w:id="0">
    <w:p w14:paraId="7ABC2584" w14:textId="77777777" w:rsidR="00EB0E03" w:rsidRDefault="00EB0E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4E46C" w14:textId="77777777" w:rsidR="00B32F73" w:rsidRDefault="00E4493B" w:rsidP="00026142">
    <w:pPr>
      <w:pStyle w:val="Header"/>
      <w:framePr w:wrap="around" w:vAnchor="text" w:hAnchor="margin" w:xAlign="right" w:y="1"/>
      <w:rPr>
        <w:rStyle w:val="PageNumber"/>
      </w:rPr>
    </w:pPr>
    <w:r>
      <w:rPr>
        <w:rStyle w:val="PageNumber"/>
      </w:rPr>
      <w:fldChar w:fldCharType="begin"/>
    </w:r>
    <w:r w:rsidR="00B32F73">
      <w:rPr>
        <w:rStyle w:val="PageNumber"/>
      </w:rPr>
      <w:instrText xml:space="preserve">PAGE  </w:instrText>
    </w:r>
    <w:r>
      <w:rPr>
        <w:rStyle w:val="PageNumber"/>
      </w:rPr>
      <w:fldChar w:fldCharType="separate"/>
    </w:r>
    <w:r w:rsidR="003E42AB">
      <w:rPr>
        <w:rStyle w:val="PageNumber"/>
        <w:noProof/>
      </w:rPr>
      <w:t>3</w:t>
    </w:r>
    <w:r>
      <w:rPr>
        <w:rStyle w:val="PageNumber"/>
      </w:rPr>
      <w:fldChar w:fldCharType="end"/>
    </w:r>
  </w:p>
  <w:p w14:paraId="3A9BF68D" w14:textId="7E9BA90E" w:rsidR="00B32F73" w:rsidRPr="00352E8D" w:rsidRDefault="00F378C4" w:rsidP="003F5158">
    <w:pPr>
      <w:pStyle w:val="Header"/>
      <w:ind w:right="360"/>
      <w:rPr>
        <w:sz w:val="22"/>
        <w:szCs w:val="22"/>
      </w:rPr>
    </w:pPr>
    <w:r>
      <w:t>BUS</w:t>
    </w:r>
    <w:r w:rsidR="00E53607">
      <w:t>530</w:t>
    </w:r>
    <w:r w:rsidR="00D0108C">
      <w:t xml:space="preserve"> </w:t>
    </w:r>
    <w:r w:rsidR="00B7451A">
      <w:t>SLP</w:t>
    </w:r>
    <w:r w:rsidR="006624AB">
      <w:t xml:space="preserve"> </w:t>
    </w:r>
    <w:r w:rsidR="00A34997">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0AA7D" w14:textId="73FA77ED" w:rsidR="00B32F73" w:rsidRDefault="003F5158" w:rsidP="00286395">
    <w:pPr>
      <w:pStyle w:val="Header"/>
      <w:jc w:val="right"/>
    </w:pPr>
    <w:r>
      <w:t xml:space="preserve">                                                                                               </w:t>
    </w:r>
    <w:r w:rsidR="00AE1D46">
      <w:fldChar w:fldCharType="begin"/>
    </w:r>
    <w:r w:rsidR="00AE1D46">
      <w:instrText xml:space="preserve"> PAGE   \* MERGEFORMAT </w:instrText>
    </w:r>
    <w:r w:rsidR="00AE1D46">
      <w:fldChar w:fldCharType="separate"/>
    </w:r>
    <w:r w:rsidR="003E42AB">
      <w:rPr>
        <w:noProof/>
      </w:rPr>
      <w:t>1</w:t>
    </w:r>
    <w:r w:rsidR="00AE1D46">
      <w:rPr>
        <w:noProof/>
      </w:rPr>
      <w:fldChar w:fldCharType="end"/>
    </w:r>
  </w:p>
  <w:p w14:paraId="2A3953CE" w14:textId="77777777" w:rsidR="00B32F73" w:rsidRDefault="00B32F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63C7F"/>
    <w:multiLevelType w:val="hybridMultilevel"/>
    <w:tmpl w:val="3C82A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9E1B75"/>
    <w:multiLevelType w:val="multilevel"/>
    <w:tmpl w:val="0F9E8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ED4A11"/>
    <w:multiLevelType w:val="multilevel"/>
    <w:tmpl w:val="8A64B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9314AD"/>
    <w:multiLevelType w:val="hybridMultilevel"/>
    <w:tmpl w:val="D9B0D0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9D61414"/>
    <w:multiLevelType w:val="hybridMultilevel"/>
    <w:tmpl w:val="E4FC4B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A4F31AE"/>
    <w:multiLevelType w:val="multilevel"/>
    <w:tmpl w:val="2E303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DD75F4"/>
    <w:multiLevelType w:val="hybridMultilevel"/>
    <w:tmpl w:val="C8BA10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2590531"/>
    <w:multiLevelType w:val="multilevel"/>
    <w:tmpl w:val="A4A6E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3625281"/>
    <w:multiLevelType w:val="hybridMultilevel"/>
    <w:tmpl w:val="CE287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F63B5E"/>
    <w:multiLevelType w:val="hybridMultilevel"/>
    <w:tmpl w:val="83EC61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8983B43"/>
    <w:multiLevelType w:val="hybridMultilevel"/>
    <w:tmpl w:val="84C87B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B47187E"/>
    <w:multiLevelType w:val="hybridMultilevel"/>
    <w:tmpl w:val="E2462264"/>
    <w:lvl w:ilvl="0" w:tplc="F446B10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A42AEE"/>
    <w:multiLevelType w:val="multilevel"/>
    <w:tmpl w:val="50AEA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282BEA"/>
    <w:multiLevelType w:val="hybridMultilevel"/>
    <w:tmpl w:val="BC8E0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954E86"/>
    <w:multiLevelType w:val="hybridMultilevel"/>
    <w:tmpl w:val="49E8A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2A0175"/>
    <w:multiLevelType w:val="hybridMultilevel"/>
    <w:tmpl w:val="466E59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F8C2640"/>
    <w:multiLevelType w:val="hybridMultilevel"/>
    <w:tmpl w:val="17F8C9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1B20004"/>
    <w:multiLevelType w:val="hybridMultilevel"/>
    <w:tmpl w:val="6C9C36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855199D"/>
    <w:multiLevelType w:val="hybridMultilevel"/>
    <w:tmpl w:val="9D321D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4A7DA7"/>
    <w:multiLevelType w:val="hybridMultilevel"/>
    <w:tmpl w:val="ACB4F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7446CB"/>
    <w:multiLevelType w:val="hybridMultilevel"/>
    <w:tmpl w:val="49A8160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1" w15:restartNumberingAfterBreak="0">
    <w:nsid w:val="629B1222"/>
    <w:multiLevelType w:val="multilevel"/>
    <w:tmpl w:val="87DA434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2D85337"/>
    <w:multiLevelType w:val="hybridMultilevel"/>
    <w:tmpl w:val="42A65F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32D725E"/>
    <w:multiLevelType w:val="hybridMultilevel"/>
    <w:tmpl w:val="A3323A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5C46A98"/>
    <w:multiLevelType w:val="multilevel"/>
    <w:tmpl w:val="1026F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9593D2C"/>
    <w:multiLevelType w:val="hybridMultilevel"/>
    <w:tmpl w:val="2610AD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9C32DC0"/>
    <w:multiLevelType w:val="hybridMultilevel"/>
    <w:tmpl w:val="D3C0E8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DC620CC"/>
    <w:multiLevelType w:val="hybridMultilevel"/>
    <w:tmpl w:val="B6A2EA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FA735E4"/>
    <w:multiLevelType w:val="multilevel"/>
    <w:tmpl w:val="5150E0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2A97C58"/>
    <w:multiLevelType w:val="hybridMultilevel"/>
    <w:tmpl w:val="24BA7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3A31DD"/>
    <w:multiLevelType w:val="hybridMultilevel"/>
    <w:tmpl w:val="602E33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97F5940"/>
    <w:multiLevelType w:val="hybridMultilevel"/>
    <w:tmpl w:val="7444BC86"/>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2" w15:restartNumberingAfterBreak="0">
    <w:nsid w:val="79C72876"/>
    <w:multiLevelType w:val="hybridMultilevel"/>
    <w:tmpl w:val="015A41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DF5753F"/>
    <w:multiLevelType w:val="multilevel"/>
    <w:tmpl w:val="6B82C03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7EED1B21"/>
    <w:multiLevelType w:val="multilevel"/>
    <w:tmpl w:val="FEB4F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995848"/>
    <w:multiLevelType w:val="hybridMultilevel"/>
    <w:tmpl w:val="369412D2"/>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7"/>
  </w:num>
  <w:num w:numId="3">
    <w:abstractNumId w:val="17"/>
  </w:num>
  <w:num w:numId="4">
    <w:abstractNumId w:val="26"/>
  </w:num>
  <w:num w:numId="5">
    <w:abstractNumId w:val="1"/>
  </w:num>
  <w:num w:numId="6">
    <w:abstractNumId w:val="30"/>
  </w:num>
  <w:num w:numId="7">
    <w:abstractNumId w:val="27"/>
  </w:num>
  <w:num w:numId="8">
    <w:abstractNumId w:val="14"/>
  </w:num>
  <w:num w:numId="9">
    <w:abstractNumId w:val="2"/>
  </w:num>
  <w:num w:numId="10">
    <w:abstractNumId w:val="19"/>
  </w:num>
  <w:num w:numId="11">
    <w:abstractNumId w:val="4"/>
  </w:num>
  <w:num w:numId="12">
    <w:abstractNumId w:val="28"/>
  </w:num>
  <w:num w:numId="13">
    <w:abstractNumId w:val="29"/>
  </w:num>
  <w:num w:numId="14">
    <w:abstractNumId w:val="24"/>
  </w:num>
  <w:num w:numId="15">
    <w:abstractNumId w:val="34"/>
  </w:num>
  <w:num w:numId="16">
    <w:abstractNumId w:val="21"/>
  </w:num>
  <w:num w:numId="17">
    <w:abstractNumId w:val="35"/>
  </w:num>
  <w:num w:numId="18">
    <w:abstractNumId w:val="9"/>
  </w:num>
  <w:num w:numId="19">
    <w:abstractNumId w:val="6"/>
  </w:num>
  <w:num w:numId="20">
    <w:abstractNumId w:val="15"/>
  </w:num>
  <w:num w:numId="21">
    <w:abstractNumId w:val="22"/>
  </w:num>
  <w:num w:numId="22">
    <w:abstractNumId w:val="10"/>
  </w:num>
  <w:num w:numId="23">
    <w:abstractNumId w:val="25"/>
  </w:num>
  <w:num w:numId="24">
    <w:abstractNumId w:val="3"/>
  </w:num>
  <w:num w:numId="25">
    <w:abstractNumId w:val="32"/>
  </w:num>
  <w:num w:numId="26">
    <w:abstractNumId w:val="20"/>
  </w:num>
  <w:num w:numId="27">
    <w:abstractNumId w:val="12"/>
  </w:num>
  <w:num w:numId="28">
    <w:abstractNumId w:val="5"/>
  </w:num>
  <w:num w:numId="29">
    <w:abstractNumId w:val="33"/>
  </w:num>
  <w:num w:numId="30">
    <w:abstractNumId w:val="16"/>
  </w:num>
  <w:num w:numId="31">
    <w:abstractNumId w:val="0"/>
  </w:num>
  <w:num w:numId="32">
    <w:abstractNumId w:val="13"/>
  </w:num>
  <w:num w:numId="33">
    <w:abstractNumId w:val="23"/>
  </w:num>
  <w:num w:numId="34">
    <w:abstractNumId w:val="31"/>
  </w:num>
  <w:num w:numId="35">
    <w:abstractNumId w:val="8"/>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DQ0MzYztzC3MDE0MDFR0lEKTi0uzszPAykwMqkFAJyXpr0tAAAA"/>
  </w:docVars>
  <w:rsids>
    <w:rsidRoot w:val="0050433C"/>
    <w:rsid w:val="00013A65"/>
    <w:rsid w:val="00026142"/>
    <w:rsid w:val="0003472F"/>
    <w:rsid w:val="000455F6"/>
    <w:rsid w:val="00047143"/>
    <w:rsid w:val="000511FA"/>
    <w:rsid w:val="0006074E"/>
    <w:rsid w:val="00081629"/>
    <w:rsid w:val="00085C7F"/>
    <w:rsid w:val="000A198A"/>
    <w:rsid w:val="000A39A9"/>
    <w:rsid w:val="000A3B55"/>
    <w:rsid w:val="000B008D"/>
    <w:rsid w:val="000B6AD6"/>
    <w:rsid w:val="000C144F"/>
    <w:rsid w:val="000C1741"/>
    <w:rsid w:val="000C6AD9"/>
    <w:rsid w:val="000E0F36"/>
    <w:rsid w:val="000F1641"/>
    <w:rsid w:val="00106FDE"/>
    <w:rsid w:val="0012511C"/>
    <w:rsid w:val="00131A1B"/>
    <w:rsid w:val="001377D4"/>
    <w:rsid w:val="00147909"/>
    <w:rsid w:val="00150EEF"/>
    <w:rsid w:val="00154F49"/>
    <w:rsid w:val="00155FA9"/>
    <w:rsid w:val="00163836"/>
    <w:rsid w:val="00167D67"/>
    <w:rsid w:val="001758DE"/>
    <w:rsid w:val="00182003"/>
    <w:rsid w:val="0019427D"/>
    <w:rsid w:val="001A55A9"/>
    <w:rsid w:val="001D090F"/>
    <w:rsid w:val="001D1CD9"/>
    <w:rsid w:val="001F40F3"/>
    <w:rsid w:val="0020174B"/>
    <w:rsid w:val="0020241D"/>
    <w:rsid w:val="00211094"/>
    <w:rsid w:val="0021351E"/>
    <w:rsid w:val="002439C9"/>
    <w:rsid w:val="00253713"/>
    <w:rsid w:val="00256256"/>
    <w:rsid w:val="00286395"/>
    <w:rsid w:val="002A2C9F"/>
    <w:rsid w:val="002C00BE"/>
    <w:rsid w:val="002C7462"/>
    <w:rsid w:val="002D755D"/>
    <w:rsid w:val="002E6180"/>
    <w:rsid w:val="002F7DEF"/>
    <w:rsid w:val="00312827"/>
    <w:rsid w:val="00352229"/>
    <w:rsid w:val="00352E8D"/>
    <w:rsid w:val="00354C36"/>
    <w:rsid w:val="00356E85"/>
    <w:rsid w:val="00361978"/>
    <w:rsid w:val="00364C68"/>
    <w:rsid w:val="003A0026"/>
    <w:rsid w:val="003A1801"/>
    <w:rsid w:val="003C7F15"/>
    <w:rsid w:val="003D6821"/>
    <w:rsid w:val="003E42AB"/>
    <w:rsid w:val="003E5F3A"/>
    <w:rsid w:val="003F2F65"/>
    <w:rsid w:val="003F3719"/>
    <w:rsid w:val="003F5158"/>
    <w:rsid w:val="003F62B7"/>
    <w:rsid w:val="00403444"/>
    <w:rsid w:val="00415754"/>
    <w:rsid w:val="00420274"/>
    <w:rsid w:val="00422016"/>
    <w:rsid w:val="00425A9A"/>
    <w:rsid w:val="00430195"/>
    <w:rsid w:val="00436393"/>
    <w:rsid w:val="00440095"/>
    <w:rsid w:val="0044112E"/>
    <w:rsid w:val="00454CAF"/>
    <w:rsid w:val="00456686"/>
    <w:rsid w:val="004578EE"/>
    <w:rsid w:val="004604B1"/>
    <w:rsid w:val="00466700"/>
    <w:rsid w:val="004853C2"/>
    <w:rsid w:val="00492DCE"/>
    <w:rsid w:val="004933AB"/>
    <w:rsid w:val="0049530B"/>
    <w:rsid w:val="004A3C8E"/>
    <w:rsid w:val="004C1298"/>
    <w:rsid w:val="00502A2F"/>
    <w:rsid w:val="005040FF"/>
    <w:rsid w:val="0050433C"/>
    <w:rsid w:val="0050489F"/>
    <w:rsid w:val="00522766"/>
    <w:rsid w:val="00530A67"/>
    <w:rsid w:val="0053493C"/>
    <w:rsid w:val="005412E4"/>
    <w:rsid w:val="0055467F"/>
    <w:rsid w:val="00561A56"/>
    <w:rsid w:val="00565081"/>
    <w:rsid w:val="00566D9F"/>
    <w:rsid w:val="0057635E"/>
    <w:rsid w:val="00581CE2"/>
    <w:rsid w:val="005E5214"/>
    <w:rsid w:val="005E5984"/>
    <w:rsid w:val="005F3678"/>
    <w:rsid w:val="005F75ED"/>
    <w:rsid w:val="0060394A"/>
    <w:rsid w:val="006124DB"/>
    <w:rsid w:val="00614C45"/>
    <w:rsid w:val="00625523"/>
    <w:rsid w:val="006416F4"/>
    <w:rsid w:val="006431F1"/>
    <w:rsid w:val="00660724"/>
    <w:rsid w:val="006624AB"/>
    <w:rsid w:val="00672D33"/>
    <w:rsid w:val="006730B0"/>
    <w:rsid w:val="00674A8C"/>
    <w:rsid w:val="006A5C5E"/>
    <w:rsid w:val="006B25B5"/>
    <w:rsid w:val="006E1EF5"/>
    <w:rsid w:val="006F527A"/>
    <w:rsid w:val="0070200D"/>
    <w:rsid w:val="00711DC4"/>
    <w:rsid w:val="007572B6"/>
    <w:rsid w:val="007A1B1F"/>
    <w:rsid w:val="007D1376"/>
    <w:rsid w:val="007F79BB"/>
    <w:rsid w:val="008026AA"/>
    <w:rsid w:val="0081017D"/>
    <w:rsid w:val="00824636"/>
    <w:rsid w:val="008255DE"/>
    <w:rsid w:val="00841A9E"/>
    <w:rsid w:val="00841F4A"/>
    <w:rsid w:val="00844EE7"/>
    <w:rsid w:val="00854C46"/>
    <w:rsid w:val="00873554"/>
    <w:rsid w:val="00880C08"/>
    <w:rsid w:val="00883AAD"/>
    <w:rsid w:val="00896609"/>
    <w:rsid w:val="008B7F59"/>
    <w:rsid w:val="008C7966"/>
    <w:rsid w:val="008D23AA"/>
    <w:rsid w:val="008D3F0D"/>
    <w:rsid w:val="008D5C02"/>
    <w:rsid w:val="008E469D"/>
    <w:rsid w:val="008F74C4"/>
    <w:rsid w:val="009007D4"/>
    <w:rsid w:val="0091254D"/>
    <w:rsid w:val="00954A41"/>
    <w:rsid w:val="00960B22"/>
    <w:rsid w:val="009749F9"/>
    <w:rsid w:val="00977C3F"/>
    <w:rsid w:val="00990C99"/>
    <w:rsid w:val="00991A50"/>
    <w:rsid w:val="009A3DEA"/>
    <w:rsid w:val="009B6C8F"/>
    <w:rsid w:val="009B75FF"/>
    <w:rsid w:val="009C2D9A"/>
    <w:rsid w:val="009C36FD"/>
    <w:rsid w:val="009C743D"/>
    <w:rsid w:val="009D375B"/>
    <w:rsid w:val="009D378A"/>
    <w:rsid w:val="00A00D2C"/>
    <w:rsid w:val="00A037C7"/>
    <w:rsid w:val="00A13576"/>
    <w:rsid w:val="00A1437D"/>
    <w:rsid w:val="00A225DF"/>
    <w:rsid w:val="00A24183"/>
    <w:rsid w:val="00A27F42"/>
    <w:rsid w:val="00A34997"/>
    <w:rsid w:val="00A37498"/>
    <w:rsid w:val="00A426A5"/>
    <w:rsid w:val="00A42F13"/>
    <w:rsid w:val="00A4532E"/>
    <w:rsid w:val="00A47E5E"/>
    <w:rsid w:val="00A60533"/>
    <w:rsid w:val="00A6361F"/>
    <w:rsid w:val="00A725AF"/>
    <w:rsid w:val="00A75CFC"/>
    <w:rsid w:val="00A93CC1"/>
    <w:rsid w:val="00A95E3A"/>
    <w:rsid w:val="00AA3F20"/>
    <w:rsid w:val="00AD4FAC"/>
    <w:rsid w:val="00AE1D46"/>
    <w:rsid w:val="00AE3507"/>
    <w:rsid w:val="00B02092"/>
    <w:rsid w:val="00B02A05"/>
    <w:rsid w:val="00B02DD7"/>
    <w:rsid w:val="00B042E8"/>
    <w:rsid w:val="00B068A8"/>
    <w:rsid w:val="00B10C07"/>
    <w:rsid w:val="00B224B6"/>
    <w:rsid w:val="00B22E3F"/>
    <w:rsid w:val="00B32F73"/>
    <w:rsid w:val="00B37F5A"/>
    <w:rsid w:val="00B4235C"/>
    <w:rsid w:val="00B46D48"/>
    <w:rsid w:val="00B6023E"/>
    <w:rsid w:val="00B6034C"/>
    <w:rsid w:val="00B62A78"/>
    <w:rsid w:val="00B742AF"/>
    <w:rsid w:val="00B7451A"/>
    <w:rsid w:val="00B80515"/>
    <w:rsid w:val="00B8112C"/>
    <w:rsid w:val="00B911B7"/>
    <w:rsid w:val="00B93D96"/>
    <w:rsid w:val="00BD1C8D"/>
    <w:rsid w:val="00BD3733"/>
    <w:rsid w:val="00BD6FF4"/>
    <w:rsid w:val="00BE026D"/>
    <w:rsid w:val="00BE410C"/>
    <w:rsid w:val="00BE77BB"/>
    <w:rsid w:val="00BF7C6E"/>
    <w:rsid w:val="00C16DDC"/>
    <w:rsid w:val="00C21C1C"/>
    <w:rsid w:val="00C22265"/>
    <w:rsid w:val="00C277CE"/>
    <w:rsid w:val="00C31727"/>
    <w:rsid w:val="00C51C2A"/>
    <w:rsid w:val="00C5533D"/>
    <w:rsid w:val="00C74F8E"/>
    <w:rsid w:val="00C769CD"/>
    <w:rsid w:val="00C84DF0"/>
    <w:rsid w:val="00C863E2"/>
    <w:rsid w:val="00C9472F"/>
    <w:rsid w:val="00CA791D"/>
    <w:rsid w:val="00CC057E"/>
    <w:rsid w:val="00CD2528"/>
    <w:rsid w:val="00CE2E66"/>
    <w:rsid w:val="00CF070A"/>
    <w:rsid w:val="00D0108C"/>
    <w:rsid w:val="00D017F4"/>
    <w:rsid w:val="00D13AC0"/>
    <w:rsid w:val="00D172FE"/>
    <w:rsid w:val="00D200BF"/>
    <w:rsid w:val="00D47CA9"/>
    <w:rsid w:val="00D47F2D"/>
    <w:rsid w:val="00D57D30"/>
    <w:rsid w:val="00D7332A"/>
    <w:rsid w:val="00D87258"/>
    <w:rsid w:val="00D96DDF"/>
    <w:rsid w:val="00DA07CA"/>
    <w:rsid w:val="00DB099B"/>
    <w:rsid w:val="00DB7248"/>
    <w:rsid w:val="00DC4FD3"/>
    <w:rsid w:val="00DD0C4D"/>
    <w:rsid w:val="00DE1A4A"/>
    <w:rsid w:val="00DE3706"/>
    <w:rsid w:val="00DE5909"/>
    <w:rsid w:val="00DE7652"/>
    <w:rsid w:val="00DF5ED9"/>
    <w:rsid w:val="00E026E0"/>
    <w:rsid w:val="00E046B3"/>
    <w:rsid w:val="00E062B8"/>
    <w:rsid w:val="00E218FB"/>
    <w:rsid w:val="00E268F4"/>
    <w:rsid w:val="00E347E9"/>
    <w:rsid w:val="00E40301"/>
    <w:rsid w:val="00E4493B"/>
    <w:rsid w:val="00E45724"/>
    <w:rsid w:val="00E45886"/>
    <w:rsid w:val="00E51027"/>
    <w:rsid w:val="00E53607"/>
    <w:rsid w:val="00E63F35"/>
    <w:rsid w:val="00E642BD"/>
    <w:rsid w:val="00E64AD3"/>
    <w:rsid w:val="00E80CFF"/>
    <w:rsid w:val="00E940DC"/>
    <w:rsid w:val="00EB0E03"/>
    <w:rsid w:val="00EB211C"/>
    <w:rsid w:val="00EC03B6"/>
    <w:rsid w:val="00EC635F"/>
    <w:rsid w:val="00ED47C2"/>
    <w:rsid w:val="00EF57CD"/>
    <w:rsid w:val="00F20699"/>
    <w:rsid w:val="00F257CE"/>
    <w:rsid w:val="00F378C4"/>
    <w:rsid w:val="00F43BA1"/>
    <w:rsid w:val="00F468D1"/>
    <w:rsid w:val="00F475E5"/>
    <w:rsid w:val="00F62922"/>
    <w:rsid w:val="00F64DDA"/>
    <w:rsid w:val="00F7461E"/>
    <w:rsid w:val="00F84528"/>
    <w:rsid w:val="00F8489A"/>
    <w:rsid w:val="00F84D66"/>
    <w:rsid w:val="00F93AF8"/>
    <w:rsid w:val="00F96D0F"/>
    <w:rsid w:val="00F96D5C"/>
    <w:rsid w:val="00FA5A4C"/>
    <w:rsid w:val="00FA7A69"/>
    <w:rsid w:val="00FD1EEE"/>
    <w:rsid w:val="00FE13EC"/>
    <w:rsid w:val="00FF19B7"/>
    <w:rsid w:val="00FF3D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5B7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6D0F"/>
    <w:rPr>
      <w:sz w:val="24"/>
      <w:szCs w:val="24"/>
    </w:rPr>
  </w:style>
  <w:style w:type="paragraph" w:styleId="Heading1">
    <w:name w:val="heading 1"/>
    <w:basedOn w:val="Normal"/>
    <w:next w:val="Normal"/>
    <w:qFormat/>
    <w:rsid w:val="00DE7652"/>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40344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semiHidden/>
    <w:unhideWhenUsed/>
    <w:qFormat/>
    <w:rsid w:val="001377D4"/>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0433C"/>
    <w:pPr>
      <w:tabs>
        <w:tab w:val="center" w:pos="4320"/>
        <w:tab w:val="right" w:pos="8640"/>
      </w:tabs>
    </w:pPr>
  </w:style>
  <w:style w:type="paragraph" w:styleId="Footer">
    <w:name w:val="footer"/>
    <w:basedOn w:val="Normal"/>
    <w:rsid w:val="0050433C"/>
    <w:pPr>
      <w:tabs>
        <w:tab w:val="center" w:pos="4320"/>
        <w:tab w:val="right" w:pos="8640"/>
      </w:tabs>
    </w:pPr>
  </w:style>
  <w:style w:type="character" w:styleId="Hyperlink">
    <w:name w:val="Hyperlink"/>
    <w:basedOn w:val="DefaultParagraphFont"/>
    <w:uiPriority w:val="99"/>
    <w:rsid w:val="0050433C"/>
    <w:rPr>
      <w:color w:val="0000FF"/>
      <w:u w:val="single"/>
    </w:rPr>
  </w:style>
  <w:style w:type="character" w:styleId="Strong">
    <w:name w:val="Strong"/>
    <w:basedOn w:val="DefaultParagraphFont"/>
    <w:uiPriority w:val="22"/>
    <w:qFormat/>
    <w:rsid w:val="000C6AD9"/>
    <w:rPr>
      <w:b/>
      <w:bCs/>
    </w:rPr>
  </w:style>
  <w:style w:type="paragraph" w:customStyle="1" w:styleId="TitlePage">
    <w:name w:val="TitlePage"/>
    <w:basedOn w:val="Normal"/>
    <w:rsid w:val="00561A56"/>
    <w:pPr>
      <w:tabs>
        <w:tab w:val="left" w:pos="576"/>
      </w:tabs>
      <w:overflowPunct w:val="0"/>
      <w:autoSpaceDE w:val="0"/>
      <w:autoSpaceDN w:val="0"/>
      <w:adjustRightInd w:val="0"/>
      <w:spacing w:line="480" w:lineRule="atLeast"/>
      <w:jc w:val="center"/>
      <w:textAlignment w:val="baseline"/>
    </w:pPr>
    <w:rPr>
      <w:rFonts w:ascii="Courier New" w:hAnsi="Courier New"/>
      <w:szCs w:val="20"/>
    </w:rPr>
  </w:style>
  <w:style w:type="paragraph" w:customStyle="1" w:styleId="References">
    <w:name w:val="References"/>
    <w:basedOn w:val="Normal"/>
    <w:rsid w:val="00561A56"/>
    <w:pPr>
      <w:keepLines/>
      <w:widowControl w:val="0"/>
      <w:tabs>
        <w:tab w:val="left" w:pos="576"/>
      </w:tabs>
      <w:overflowPunct w:val="0"/>
      <w:autoSpaceDE w:val="0"/>
      <w:autoSpaceDN w:val="0"/>
      <w:adjustRightInd w:val="0"/>
      <w:spacing w:line="480" w:lineRule="atLeast"/>
      <w:ind w:left="720" w:hanging="720"/>
      <w:textAlignment w:val="baseline"/>
    </w:pPr>
    <w:rPr>
      <w:rFonts w:ascii="Courier New" w:hAnsi="Courier New"/>
      <w:szCs w:val="20"/>
    </w:rPr>
  </w:style>
  <w:style w:type="paragraph" w:styleId="BalloonText">
    <w:name w:val="Balloon Text"/>
    <w:basedOn w:val="Normal"/>
    <w:semiHidden/>
    <w:rsid w:val="00561A56"/>
    <w:rPr>
      <w:rFonts w:ascii="Tahoma" w:hAnsi="Tahoma" w:cs="Tahoma"/>
      <w:sz w:val="16"/>
      <w:szCs w:val="16"/>
    </w:rPr>
  </w:style>
  <w:style w:type="character" w:styleId="PageNumber">
    <w:name w:val="page number"/>
    <w:basedOn w:val="DefaultParagraphFont"/>
    <w:rsid w:val="00561A56"/>
  </w:style>
  <w:style w:type="paragraph" w:styleId="NormalWeb">
    <w:name w:val="Normal (Web)"/>
    <w:basedOn w:val="Normal"/>
    <w:uiPriority w:val="99"/>
    <w:unhideWhenUsed/>
    <w:rsid w:val="0070200D"/>
    <w:pPr>
      <w:spacing w:before="100" w:beforeAutospacing="1" w:after="100" w:afterAutospacing="1"/>
    </w:pPr>
  </w:style>
  <w:style w:type="character" w:customStyle="1" w:styleId="HeaderChar">
    <w:name w:val="Header Char"/>
    <w:basedOn w:val="DefaultParagraphFont"/>
    <w:link w:val="Header"/>
    <w:uiPriority w:val="99"/>
    <w:rsid w:val="00106FDE"/>
    <w:rPr>
      <w:sz w:val="24"/>
      <w:szCs w:val="24"/>
    </w:rPr>
  </w:style>
  <w:style w:type="character" w:styleId="Emphasis">
    <w:name w:val="Emphasis"/>
    <w:basedOn w:val="DefaultParagraphFont"/>
    <w:uiPriority w:val="20"/>
    <w:qFormat/>
    <w:rsid w:val="00A42F13"/>
    <w:rPr>
      <w:i/>
      <w:iCs/>
    </w:rPr>
  </w:style>
  <w:style w:type="character" w:customStyle="1" w:styleId="medium-normal">
    <w:name w:val="medium-normal"/>
    <w:basedOn w:val="DefaultParagraphFont"/>
    <w:rsid w:val="00A42F13"/>
  </w:style>
  <w:style w:type="character" w:styleId="PlaceholderText">
    <w:name w:val="Placeholder Text"/>
    <w:basedOn w:val="DefaultParagraphFont"/>
    <w:uiPriority w:val="99"/>
    <w:semiHidden/>
    <w:rsid w:val="0053493C"/>
    <w:rPr>
      <w:color w:val="808080"/>
    </w:rPr>
  </w:style>
  <w:style w:type="character" w:customStyle="1" w:styleId="Style1">
    <w:name w:val="Style1"/>
    <w:basedOn w:val="DefaultParagraphFont"/>
    <w:uiPriority w:val="1"/>
    <w:rsid w:val="00F96D5C"/>
  </w:style>
  <w:style w:type="character" w:styleId="FollowedHyperlink">
    <w:name w:val="FollowedHyperlink"/>
    <w:basedOn w:val="DefaultParagraphFont"/>
    <w:rsid w:val="00256256"/>
    <w:rPr>
      <w:color w:val="800080"/>
      <w:u w:val="single"/>
    </w:rPr>
  </w:style>
  <w:style w:type="paragraph" w:styleId="ListParagraph">
    <w:name w:val="List Paragraph"/>
    <w:basedOn w:val="Normal"/>
    <w:uiPriority w:val="34"/>
    <w:qFormat/>
    <w:rsid w:val="008026AA"/>
    <w:pPr>
      <w:ind w:left="720"/>
      <w:contextualSpacing/>
    </w:pPr>
  </w:style>
  <w:style w:type="paragraph" w:customStyle="1" w:styleId="text">
    <w:name w:val="text"/>
    <w:basedOn w:val="Normal"/>
    <w:rsid w:val="008D5C02"/>
    <w:pPr>
      <w:spacing w:before="100" w:beforeAutospacing="1" w:after="100" w:afterAutospacing="1"/>
    </w:pPr>
    <w:rPr>
      <w:rFonts w:ascii="Verdana" w:hAnsi="Verdana"/>
      <w:color w:val="000000"/>
    </w:rPr>
  </w:style>
  <w:style w:type="paragraph" w:customStyle="1" w:styleId="Blockquote">
    <w:name w:val="Blockquote"/>
    <w:basedOn w:val="Normal"/>
    <w:rsid w:val="00DD0C4D"/>
    <w:pPr>
      <w:spacing w:before="100" w:after="100"/>
      <w:ind w:left="360" w:right="360"/>
    </w:pPr>
    <w:rPr>
      <w:snapToGrid w:val="0"/>
      <w:szCs w:val="20"/>
    </w:rPr>
  </w:style>
  <w:style w:type="paragraph" w:styleId="BodyText">
    <w:name w:val="Body Text"/>
    <w:basedOn w:val="Normal"/>
    <w:link w:val="BodyTextChar"/>
    <w:rsid w:val="00DD0C4D"/>
    <w:pPr>
      <w:spacing w:after="120"/>
    </w:pPr>
    <w:rPr>
      <w:rFonts w:ascii="Book Antiqua" w:hAnsi="Book Antiqua"/>
    </w:rPr>
  </w:style>
  <w:style w:type="character" w:customStyle="1" w:styleId="BodyTextChar">
    <w:name w:val="Body Text Char"/>
    <w:basedOn w:val="DefaultParagraphFont"/>
    <w:link w:val="BodyText"/>
    <w:rsid w:val="00DD0C4D"/>
    <w:rPr>
      <w:rFonts w:ascii="Book Antiqua" w:hAnsi="Book Antiqua"/>
      <w:sz w:val="24"/>
      <w:szCs w:val="24"/>
    </w:rPr>
  </w:style>
  <w:style w:type="character" w:customStyle="1" w:styleId="Heading4Char">
    <w:name w:val="Heading 4 Char"/>
    <w:basedOn w:val="DefaultParagraphFont"/>
    <w:link w:val="Heading4"/>
    <w:semiHidden/>
    <w:rsid w:val="001377D4"/>
    <w:rPr>
      <w:rFonts w:asciiTheme="majorHAnsi" w:eastAsiaTheme="majorEastAsia" w:hAnsiTheme="majorHAnsi" w:cstheme="majorBidi"/>
      <w:b/>
      <w:bCs/>
      <w:i/>
      <w:iCs/>
      <w:color w:val="4F81BD" w:themeColor="accent1"/>
      <w:sz w:val="24"/>
      <w:szCs w:val="24"/>
    </w:rPr>
  </w:style>
  <w:style w:type="paragraph" w:customStyle="1" w:styleId="citation">
    <w:name w:val="citation"/>
    <w:basedOn w:val="Normal"/>
    <w:rsid w:val="001377D4"/>
    <w:pPr>
      <w:spacing w:before="100" w:beforeAutospacing="1" w:after="100" w:afterAutospacing="1"/>
    </w:pPr>
  </w:style>
  <w:style w:type="character" w:customStyle="1" w:styleId="Heading2Char">
    <w:name w:val="Heading 2 Char"/>
    <w:basedOn w:val="DefaultParagraphFont"/>
    <w:link w:val="Heading2"/>
    <w:semiHidden/>
    <w:rsid w:val="00403444"/>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9C74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C743D"/>
    <w:rPr>
      <w:color w:val="605E5C"/>
      <w:shd w:val="clear" w:color="auto" w:fill="E1DFDD"/>
    </w:rPr>
  </w:style>
  <w:style w:type="character" w:styleId="SubtleEmphasis">
    <w:name w:val="Subtle Emphasis"/>
    <w:basedOn w:val="DefaultParagraphFont"/>
    <w:uiPriority w:val="19"/>
    <w:qFormat/>
    <w:rsid w:val="00D0108C"/>
    <w:rPr>
      <w:i/>
      <w:iCs/>
      <w:color w:val="404040" w:themeColor="text1" w:themeTint="BF"/>
    </w:rPr>
  </w:style>
  <w:style w:type="paragraph" w:styleId="Caption">
    <w:name w:val="caption"/>
    <w:basedOn w:val="Normal"/>
    <w:next w:val="Normal"/>
    <w:unhideWhenUsed/>
    <w:qFormat/>
    <w:rsid w:val="00A47E5E"/>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807556">
      <w:bodyDiv w:val="1"/>
      <w:marLeft w:val="0"/>
      <w:marRight w:val="0"/>
      <w:marTop w:val="0"/>
      <w:marBottom w:val="0"/>
      <w:divBdr>
        <w:top w:val="none" w:sz="0" w:space="0" w:color="auto"/>
        <w:left w:val="none" w:sz="0" w:space="0" w:color="auto"/>
        <w:bottom w:val="none" w:sz="0" w:space="0" w:color="auto"/>
        <w:right w:val="none" w:sz="0" w:space="0" w:color="auto"/>
      </w:divBdr>
      <w:divsChild>
        <w:div w:id="2069301289">
          <w:marLeft w:val="270"/>
          <w:marRight w:val="0"/>
          <w:marTop w:val="0"/>
          <w:marBottom w:val="0"/>
          <w:divBdr>
            <w:top w:val="none" w:sz="0" w:space="0" w:color="auto"/>
            <w:left w:val="none" w:sz="0" w:space="0" w:color="auto"/>
            <w:bottom w:val="none" w:sz="0" w:space="0" w:color="auto"/>
            <w:right w:val="none" w:sz="0" w:space="0" w:color="auto"/>
          </w:divBdr>
        </w:div>
      </w:divsChild>
    </w:div>
    <w:div w:id="370737454">
      <w:bodyDiv w:val="1"/>
      <w:marLeft w:val="0"/>
      <w:marRight w:val="0"/>
      <w:marTop w:val="0"/>
      <w:marBottom w:val="0"/>
      <w:divBdr>
        <w:top w:val="none" w:sz="0" w:space="0" w:color="auto"/>
        <w:left w:val="none" w:sz="0" w:space="0" w:color="auto"/>
        <w:bottom w:val="none" w:sz="0" w:space="0" w:color="auto"/>
        <w:right w:val="none" w:sz="0" w:space="0" w:color="auto"/>
      </w:divBdr>
      <w:divsChild>
        <w:div w:id="880362866">
          <w:marLeft w:val="0"/>
          <w:marRight w:val="0"/>
          <w:marTop w:val="0"/>
          <w:marBottom w:val="0"/>
          <w:divBdr>
            <w:top w:val="none" w:sz="0" w:space="0" w:color="auto"/>
            <w:left w:val="none" w:sz="0" w:space="0" w:color="auto"/>
            <w:bottom w:val="none" w:sz="0" w:space="0" w:color="auto"/>
            <w:right w:val="none" w:sz="0" w:space="0" w:color="auto"/>
          </w:divBdr>
        </w:div>
        <w:div w:id="1029768546">
          <w:marLeft w:val="0"/>
          <w:marRight w:val="0"/>
          <w:marTop w:val="0"/>
          <w:marBottom w:val="0"/>
          <w:divBdr>
            <w:top w:val="none" w:sz="0" w:space="0" w:color="auto"/>
            <w:left w:val="none" w:sz="0" w:space="0" w:color="auto"/>
            <w:bottom w:val="none" w:sz="0" w:space="0" w:color="auto"/>
            <w:right w:val="none" w:sz="0" w:space="0" w:color="auto"/>
          </w:divBdr>
        </w:div>
      </w:divsChild>
    </w:div>
    <w:div w:id="423383619">
      <w:bodyDiv w:val="1"/>
      <w:marLeft w:val="0"/>
      <w:marRight w:val="0"/>
      <w:marTop w:val="0"/>
      <w:marBottom w:val="0"/>
      <w:divBdr>
        <w:top w:val="none" w:sz="0" w:space="0" w:color="auto"/>
        <w:left w:val="none" w:sz="0" w:space="0" w:color="auto"/>
        <w:bottom w:val="none" w:sz="0" w:space="0" w:color="auto"/>
        <w:right w:val="none" w:sz="0" w:space="0" w:color="auto"/>
      </w:divBdr>
    </w:div>
    <w:div w:id="519197995">
      <w:bodyDiv w:val="1"/>
      <w:marLeft w:val="0"/>
      <w:marRight w:val="0"/>
      <w:marTop w:val="0"/>
      <w:marBottom w:val="0"/>
      <w:divBdr>
        <w:top w:val="none" w:sz="0" w:space="0" w:color="auto"/>
        <w:left w:val="none" w:sz="0" w:space="0" w:color="auto"/>
        <w:bottom w:val="none" w:sz="0" w:space="0" w:color="auto"/>
        <w:right w:val="none" w:sz="0" w:space="0" w:color="auto"/>
      </w:divBdr>
      <w:divsChild>
        <w:div w:id="683829263">
          <w:marLeft w:val="0"/>
          <w:marRight w:val="0"/>
          <w:marTop w:val="0"/>
          <w:marBottom w:val="0"/>
          <w:divBdr>
            <w:top w:val="none" w:sz="0" w:space="0" w:color="auto"/>
            <w:left w:val="none" w:sz="0" w:space="0" w:color="auto"/>
            <w:bottom w:val="none" w:sz="0" w:space="0" w:color="auto"/>
            <w:right w:val="none" w:sz="0" w:space="0" w:color="auto"/>
          </w:divBdr>
          <w:divsChild>
            <w:div w:id="563754923">
              <w:marLeft w:val="0"/>
              <w:marRight w:val="0"/>
              <w:marTop w:val="0"/>
              <w:marBottom w:val="0"/>
              <w:divBdr>
                <w:top w:val="none" w:sz="0" w:space="0" w:color="auto"/>
                <w:left w:val="none" w:sz="0" w:space="0" w:color="auto"/>
                <w:bottom w:val="none" w:sz="0" w:space="0" w:color="auto"/>
                <w:right w:val="none" w:sz="0" w:space="0" w:color="auto"/>
              </w:divBdr>
              <w:divsChild>
                <w:div w:id="1288852046">
                  <w:marLeft w:val="0"/>
                  <w:marRight w:val="0"/>
                  <w:marTop w:val="0"/>
                  <w:marBottom w:val="0"/>
                  <w:divBdr>
                    <w:top w:val="none" w:sz="0" w:space="0" w:color="auto"/>
                    <w:left w:val="none" w:sz="0" w:space="0" w:color="auto"/>
                    <w:bottom w:val="none" w:sz="0" w:space="0" w:color="auto"/>
                    <w:right w:val="none" w:sz="0" w:space="0" w:color="auto"/>
                  </w:divBdr>
                  <w:divsChild>
                    <w:div w:id="1822230324">
                      <w:marLeft w:val="0"/>
                      <w:marRight w:val="0"/>
                      <w:marTop w:val="0"/>
                      <w:marBottom w:val="0"/>
                      <w:divBdr>
                        <w:top w:val="none" w:sz="0" w:space="0" w:color="auto"/>
                        <w:left w:val="none" w:sz="0" w:space="0" w:color="auto"/>
                        <w:bottom w:val="none" w:sz="0" w:space="0" w:color="auto"/>
                        <w:right w:val="none" w:sz="0" w:space="0" w:color="auto"/>
                      </w:divBdr>
                      <w:divsChild>
                        <w:div w:id="325478661">
                          <w:marLeft w:val="0"/>
                          <w:marRight w:val="0"/>
                          <w:marTop w:val="0"/>
                          <w:marBottom w:val="0"/>
                          <w:divBdr>
                            <w:top w:val="none" w:sz="0" w:space="0" w:color="auto"/>
                            <w:left w:val="none" w:sz="0" w:space="0" w:color="auto"/>
                            <w:bottom w:val="none" w:sz="0" w:space="0" w:color="auto"/>
                            <w:right w:val="none" w:sz="0" w:space="0" w:color="auto"/>
                          </w:divBdr>
                          <w:divsChild>
                            <w:div w:id="408698171">
                              <w:marLeft w:val="0"/>
                              <w:marRight w:val="0"/>
                              <w:marTop w:val="0"/>
                              <w:marBottom w:val="0"/>
                              <w:divBdr>
                                <w:top w:val="none" w:sz="0" w:space="0" w:color="auto"/>
                                <w:left w:val="none" w:sz="0" w:space="0" w:color="auto"/>
                                <w:bottom w:val="none" w:sz="0" w:space="0" w:color="auto"/>
                                <w:right w:val="none" w:sz="0" w:space="0" w:color="auto"/>
                              </w:divBdr>
                              <w:divsChild>
                                <w:div w:id="1549613067">
                                  <w:marLeft w:val="0"/>
                                  <w:marRight w:val="0"/>
                                  <w:marTop w:val="0"/>
                                  <w:marBottom w:val="0"/>
                                  <w:divBdr>
                                    <w:top w:val="none" w:sz="0" w:space="0" w:color="auto"/>
                                    <w:left w:val="none" w:sz="0" w:space="0" w:color="auto"/>
                                    <w:bottom w:val="none" w:sz="0" w:space="0" w:color="auto"/>
                                    <w:right w:val="none" w:sz="0" w:space="0" w:color="auto"/>
                                  </w:divBdr>
                                  <w:divsChild>
                                    <w:div w:id="112755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532630">
                          <w:marLeft w:val="0"/>
                          <w:marRight w:val="0"/>
                          <w:marTop w:val="0"/>
                          <w:marBottom w:val="0"/>
                          <w:divBdr>
                            <w:top w:val="none" w:sz="0" w:space="0" w:color="auto"/>
                            <w:left w:val="none" w:sz="0" w:space="0" w:color="auto"/>
                            <w:bottom w:val="none" w:sz="0" w:space="0" w:color="auto"/>
                            <w:right w:val="none" w:sz="0" w:space="0" w:color="auto"/>
                          </w:divBdr>
                          <w:divsChild>
                            <w:div w:id="319970079">
                              <w:marLeft w:val="0"/>
                              <w:marRight w:val="0"/>
                              <w:marTop w:val="0"/>
                              <w:marBottom w:val="0"/>
                              <w:divBdr>
                                <w:top w:val="none" w:sz="0" w:space="0" w:color="auto"/>
                                <w:left w:val="none" w:sz="0" w:space="0" w:color="auto"/>
                                <w:bottom w:val="none" w:sz="0" w:space="0" w:color="auto"/>
                                <w:right w:val="none" w:sz="0" w:space="0" w:color="auto"/>
                              </w:divBdr>
                              <w:divsChild>
                                <w:div w:id="44974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3797523">
      <w:bodyDiv w:val="1"/>
      <w:marLeft w:val="0"/>
      <w:marRight w:val="0"/>
      <w:marTop w:val="0"/>
      <w:marBottom w:val="0"/>
      <w:divBdr>
        <w:top w:val="none" w:sz="0" w:space="0" w:color="auto"/>
        <w:left w:val="none" w:sz="0" w:space="0" w:color="auto"/>
        <w:bottom w:val="none" w:sz="0" w:space="0" w:color="auto"/>
        <w:right w:val="none" w:sz="0" w:space="0" w:color="auto"/>
      </w:divBdr>
    </w:div>
    <w:div w:id="752974292">
      <w:bodyDiv w:val="1"/>
      <w:marLeft w:val="0"/>
      <w:marRight w:val="0"/>
      <w:marTop w:val="0"/>
      <w:marBottom w:val="0"/>
      <w:divBdr>
        <w:top w:val="none" w:sz="0" w:space="0" w:color="auto"/>
        <w:left w:val="none" w:sz="0" w:space="0" w:color="auto"/>
        <w:bottom w:val="none" w:sz="0" w:space="0" w:color="auto"/>
        <w:right w:val="none" w:sz="0" w:space="0" w:color="auto"/>
      </w:divBdr>
      <w:divsChild>
        <w:div w:id="899823821">
          <w:marLeft w:val="270"/>
          <w:marRight w:val="0"/>
          <w:marTop w:val="0"/>
          <w:marBottom w:val="0"/>
          <w:divBdr>
            <w:top w:val="none" w:sz="0" w:space="0" w:color="auto"/>
            <w:left w:val="none" w:sz="0" w:space="0" w:color="auto"/>
            <w:bottom w:val="none" w:sz="0" w:space="0" w:color="auto"/>
            <w:right w:val="none" w:sz="0" w:space="0" w:color="auto"/>
          </w:divBdr>
        </w:div>
      </w:divsChild>
    </w:div>
    <w:div w:id="798572137">
      <w:bodyDiv w:val="1"/>
      <w:marLeft w:val="0"/>
      <w:marRight w:val="0"/>
      <w:marTop w:val="0"/>
      <w:marBottom w:val="0"/>
      <w:divBdr>
        <w:top w:val="none" w:sz="0" w:space="0" w:color="auto"/>
        <w:left w:val="none" w:sz="0" w:space="0" w:color="auto"/>
        <w:bottom w:val="none" w:sz="0" w:space="0" w:color="auto"/>
        <w:right w:val="none" w:sz="0" w:space="0" w:color="auto"/>
      </w:divBdr>
    </w:div>
    <w:div w:id="1383478237">
      <w:bodyDiv w:val="1"/>
      <w:marLeft w:val="0"/>
      <w:marRight w:val="0"/>
      <w:marTop w:val="0"/>
      <w:marBottom w:val="0"/>
      <w:divBdr>
        <w:top w:val="none" w:sz="0" w:space="0" w:color="auto"/>
        <w:left w:val="none" w:sz="0" w:space="0" w:color="auto"/>
        <w:bottom w:val="none" w:sz="0" w:space="0" w:color="auto"/>
        <w:right w:val="none" w:sz="0" w:space="0" w:color="auto"/>
      </w:divBdr>
      <w:divsChild>
        <w:div w:id="215552807">
          <w:marLeft w:val="0"/>
          <w:marRight w:val="0"/>
          <w:marTop w:val="0"/>
          <w:marBottom w:val="0"/>
          <w:divBdr>
            <w:top w:val="none" w:sz="0" w:space="0" w:color="auto"/>
            <w:left w:val="none" w:sz="0" w:space="0" w:color="auto"/>
            <w:bottom w:val="none" w:sz="0" w:space="0" w:color="auto"/>
            <w:right w:val="none" w:sz="0" w:space="0" w:color="auto"/>
          </w:divBdr>
        </w:div>
      </w:divsChild>
    </w:div>
    <w:div w:id="1486896553">
      <w:bodyDiv w:val="1"/>
      <w:marLeft w:val="0"/>
      <w:marRight w:val="0"/>
      <w:marTop w:val="0"/>
      <w:marBottom w:val="0"/>
      <w:divBdr>
        <w:top w:val="none" w:sz="0" w:space="0" w:color="auto"/>
        <w:left w:val="none" w:sz="0" w:space="0" w:color="auto"/>
        <w:bottom w:val="none" w:sz="0" w:space="0" w:color="auto"/>
        <w:right w:val="none" w:sz="0" w:space="0" w:color="auto"/>
      </w:divBdr>
    </w:div>
    <w:div w:id="1537039509">
      <w:bodyDiv w:val="1"/>
      <w:marLeft w:val="0"/>
      <w:marRight w:val="0"/>
      <w:marTop w:val="0"/>
      <w:marBottom w:val="0"/>
      <w:divBdr>
        <w:top w:val="none" w:sz="0" w:space="0" w:color="auto"/>
        <w:left w:val="none" w:sz="0" w:space="0" w:color="auto"/>
        <w:bottom w:val="none" w:sz="0" w:space="0" w:color="auto"/>
        <w:right w:val="none" w:sz="0" w:space="0" w:color="auto"/>
      </w:divBdr>
    </w:div>
    <w:div w:id="1564245497">
      <w:bodyDiv w:val="1"/>
      <w:marLeft w:val="0"/>
      <w:marRight w:val="0"/>
      <w:marTop w:val="0"/>
      <w:marBottom w:val="0"/>
      <w:divBdr>
        <w:top w:val="none" w:sz="0" w:space="0" w:color="auto"/>
        <w:left w:val="none" w:sz="0" w:space="0" w:color="auto"/>
        <w:bottom w:val="none" w:sz="0" w:space="0" w:color="auto"/>
        <w:right w:val="none" w:sz="0" w:space="0" w:color="auto"/>
      </w:divBdr>
    </w:div>
    <w:div w:id="1601140207">
      <w:bodyDiv w:val="1"/>
      <w:marLeft w:val="0"/>
      <w:marRight w:val="0"/>
      <w:marTop w:val="0"/>
      <w:marBottom w:val="0"/>
      <w:divBdr>
        <w:top w:val="none" w:sz="0" w:space="0" w:color="auto"/>
        <w:left w:val="none" w:sz="0" w:space="0" w:color="auto"/>
        <w:bottom w:val="none" w:sz="0" w:space="0" w:color="auto"/>
        <w:right w:val="none" w:sz="0" w:space="0" w:color="auto"/>
      </w:divBdr>
    </w:div>
    <w:div w:id="1604267136">
      <w:bodyDiv w:val="1"/>
      <w:marLeft w:val="0"/>
      <w:marRight w:val="0"/>
      <w:marTop w:val="0"/>
      <w:marBottom w:val="0"/>
      <w:divBdr>
        <w:top w:val="none" w:sz="0" w:space="0" w:color="auto"/>
        <w:left w:val="none" w:sz="0" w:space="0" w:color="auto"/>
        <w:bottom w:val="none" w:sz="0" w:space="0" w:color="auto"/>
        <w:right w:val="none" w:sz="0" w:space="0" w:color="auto"/>
      </w:divBdr>
      <w:divsChild>
        <w:div w:id="103620229">
          <w:marLeft w:val="0"/>
          <w:marRight w:val="0"/>
          <w:marTop w:val="0"/>
          <w:marBottom w:val="0"/>
          <w:divBdr>
            <w:top w:val="none" w:sz="0" w:space="0" w:color="auto"/>
            <w:left w:val="none" w:sz="0" w:space="0" w:color="auto"/>
            <w:bottom w:val="none" w:sz="0" w:space="0" w:color="auto"/>
            <w:right w:val="none" w:sz="0" w:space="0" w:color="auto"/>
          </w:divBdr>
        </w:div>
      </w:divsChild>
    </w:div>
    <w:div w:id="1818911426">
      <w:bodyDiv w:val="1"/>
      <w:marLeft w:val="0"/>
      <w:marRight w:val="0"/>
      <w:marTop w:val="0"/>
      <w:marBottom w:val="0"/>
      <w:divBdr>
        <w:top w:val="none" w:sz="0" w:space="0" w:color="auto"/>
        <w:left w:val="none" w:sz="0" w:space="0" w:color="auto"/>
        <w:bottom w:val="none" w:sz="0" w:space="0" w:color="auto"/>
        <w:right w:val="none" w:sz="0" w:space="0" w:color="auto"/>
      </w:divBdr>
      <w:divsChild>
        <w:div w:id="843858841">
          <w:marLeft w:val="0"/>
          <w:marRight w:val="0"/>
          <w:marTop w:val="0"/>
          <w:marBottom w:val="0"/>
          <w:divBdr>
            <w:top w:val="none" w:sz="0" w:space="0" w:color="auto"/>
            <w:left w:val="none" w:sz="0" w:space="0" w:color="auto"/>
            <w:bottom w:val="none" w:sz="0" w:space="0" w:color="auto"/>
            <w:right w:val="none" w:sz="0" w:space="0" w:color="auto"/>
          </w:divBdr>
          <w:divsChild>
            <w:div w:id="64187054">
              <w:marLeft w:val="0"/>
              <w:marRight w:val="0"/>
              <w:marTop w:val="0"/>
              <w:marBottom w:val="0"/>
              <w:divBdr>
                <w:top w:val="none" w:sz="0" w:space="0" w:color="auto"/>
                <w:left w:val="none" w:sz="0" w:space="0" w:color="auto"/>
                <w:bottom w:val="none" w:sz="0" w:space="0" w:color="auto"/>
                <w:right w:val="none" w:sz="0" w:space="0" w:color="auto"/>
              </w:divBdr>
            </w:div>
            <w:div w:id="291401831">
              <w:marLeft w:val="0"/>
              <w:marRight w:val="0"/>
              <w:marTop w:val="0"/>
              <w:marBottom w:val="0"/>
              <w:divBdr>
                <w:top w:val="none" w:sz="0" w:space="0" w:color="auto"/>
                <w:left w:val="none" w:sz="0" w:space="0" w:color="auto"/>
                <w:bottom w:val="none" w:sz="0" w:space="0" w:color="auto"/>
                <w:right w:val="none" w:sz="0" w:space="0" w:color="auto"/>
              </w:divBdr>
            </w:div>
            <w:div w:id="494303537">
              <w:marLeft w:val="0"/>
              <w:marRight w:val="0"/>
              <w:marTop w:val="0"/>
              <w:marBottom w:val="0"/>
              <w:divBdr>
                <w:top w:val="none" w:sz="0" w:space="0" w:color="auto"/>
                <w:left w:val="none" w:sz="0" w:space="0" w:color="auto"/>
                <w:bottom w:val="none" w:sz="0" w:space="0" w:color="auto"/>
                <w:right w:val="none" w:sz="0" w:space="0" w:color="auto"/>
              </w:divBdr>
            </w:div>
            <w:div w:id="687028462">
              <w:marLeft w:val="0"/>
              <w:marRight w:val="0"/>
              <w:marTop w:val="0"/>
              <w:marBottom w:val="0"/>
              <w:divBdr>
                <w:top w:val="none" w:sz="0" w:space="0" w:color="auto"/>
                <w:left w:val="none" w:sz="0" w:space="0" w:color="auto"/>
                <w:bottom w:val="none" w:sz="0" w:space="0" w:color="auto"/>
                <w:right w:val="none" w:sz="0" w:space="0" w:color="auto"/>
              </w:divBdr>
            </w:div>
            <w:div w:id="925117198">
              <w:marLeft w:val="0"/>
              <w:marRight w:val="0"/>
              <w:marTop w:val="0"/>
              <w:marBottom w:val="0"/>
              <w:divBdr>
                <w:top w:val="none" w:sz="0" w:space="0" w:color="auto"/>
                <w:left w:val="none" w:sz="0" w:space="0" w:color="auto"/>
                <w:bottom w:val="none" w:sz="0" w:space="0" w:color="auto"/>
                <w:right w:val="none" w:sz="0" w:space="0" w:color="auto"/>
              </w:divBdr>
            </w:div>
            <w:div w:id="1029725384">
              <w:marLeft w:val="0"/>
              <w:marRight w:val="0"/>
              <w:marTop w:val="0"/>
              <w:marBottom w:val="0"/>
              <w:divBdr>
                <w:top w:val="none" w:sz="0" w:space="0" w:color="auto"/>
                <w:left w:val="none" w:sz="0" w:space="0" w:color="auto"/>
                <w:bottom w:val="none" w:sz="0" w:space="0" w:color="auto"/>
                <w:right w:val="none" w:sz="0" w:space="0" w:color="auto"/>
              </w:divBdr>
            </w:div>
            <w:div w:id="1108432954">
              <w:marLeft w:val="0"/>
              <w:marRight w:val="0"/>
              <w:marTop w:val="0"/>
              <w:marBottom w:val="0"/>
              <w:divBdr>
                <w:top w:val="none" w:sz="0" w:space="0" w:color="auto"/>
                <w:left w:val="none" w:sz="0" w:space="0" w:color="auto"/>
                <w:bottom w:val="none" w:sz="0" w:space="0" w:color="auto"/>
                <w:right w:val="none" w:sz="0" w:space="0" w:color="auto"/>
              </w:divBdr>
            </w:div>
            <w:div w:id="1163668651">
              <w:marLeft w:val="0"/>
              <w:marRight w:val="0"/>
              <w:marTop w:val="0"/>
              <w:marBottom w:val="0"/>
              <w:divBdr>
                <w:top w:val="none" w:sz="0" w:space="0" w:color="auto"/>
                <w:left w:val="none" w:sz="0" w:space="0" w:color="auto"/>
                <w:bottom w:val="none" w:sz="0" w:space="0" w:color="auto"/>
                <w:right w:val="none" w:sz="0" w:space="0" w:color="auto"/>
              </w:divBdr>
            </w:div>
            <w:div w:id="1199122324">
              <w:marLeft w:val="0"/>
              <w:marRight w:val="0"/>
              <w:marTop w:val="0"/>
              <w:marBottom w:val="0"/>
              <w:divBdr>
                <w:top w:val="none" w:sz="0" w:space="0" w:color="auto"/>
                <w:left w:val="none" w:sz="0" w:space="0" w:color="auto"/>
                <w:bottom w:val="none" w:sz="0" w:space="0" w:color="auto"/>
                <w:right w:val="none" w:sz="0" w:space="0" w:color="auto"/>
              </w:divBdr>
            </w:div>
            <w:div w:id="1237087385">
              <w:marLeft w:val="0"/>
              <w:marRight w:val="0"/>
              <w:marTop w:val="0"/>
              <w:marBottom w:val="0"/>
              <w:divBdr>
                <w:top w:val="none" w:sz="0" w:space="0" w:color="auto"/>
                <w:left w:val="none" w:sz="0" w:space="0" w:color="auto"/>
                <w:bottom w:val="none" w:sz="0" w:space="0" w:color="auto"/>
                <w:right w:val="none" w:sz="0" w:space="0" w:color="auto"/>
              </w:divBdr>
            </w:div>
            <w:div w:id="1292590609">
              <w:marLeft w:val="0"/>
              <w:marRight w:val="0"/>
              <w:marTop w:val="0"/>
              <w:marBottom w:val="0"/>
              <w:divBdr>
                <w:top w:val="none" w:sz="0" w:space="0" w:color="auto"/>
                <w:left w:val="none" w:sz="0" w:space="0" w:color="auto"/>
                <w:bottom w:val="none" w:sz="0" w:space="0" w:color="auto"/>
                <w:right w:val="none" w:sz="0" w:space="0" w:color="auto"/>
              </w:divBdr>
            </w:div>
            <w:div w:id="1806895819">
              <w:marLeft w:val="0"/>
              <w:marRight w:val="0"/>
              <w:marTop w:val="0"/>
              <w:marBottom w:val="0"/>
              <w:divBdr>
                <w:top w:val="none" w:sz="0" w:space="0" w:color="auto"/>
                <w:left w:val="none" w:sz="0" w:space="0" w:color="auto"/>
                <w:bottom w:val="none" w:sz="0" w:space="0" w:color="auto"/>
                <w:right w:val="none" w:sz="0" w:space="0" w:color="auto"/>
              </w:divBdr>
            </w:div>
            <w:div w:id="207724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656474">
      <w:bodyDiv w:val="1"/>
      <w:marLeft w:val="0"/>
      <w:marRight w:val="0"/>
      <w:marTop w:val="0"/>
      <w:marBottom w:val="0"/>
      <w:divBdr>
        <w:top w:val="none" w:sz="0" w:space="0" w:color="auto"/>
        <w:left w:val="none" w:sz="0" w:space="0" w:color="auto"/>
        <w:bottom w:val="none" w:sz="0" w:space="0" w:color="auto"/>
        <w:right w:val="none" w:sz="0" w:space="0" w:color="auto"/>
      </w:divBdr>
      <w:divsChild>
        <w:div w:id="518809630">
          <w:marLeft w:val="0"/>
          <w:marRight w:val="0"/>
          <w:marTop w:val="0"/>
          <w:marBottom w:val="0"/>
          <w:divBdr>
            <w:top w:val="none" w:sz="0" w:space="0" w:color="auto"/>
            <w:left w:val="none" w:sz="0" w:space="0" w:color="auto"/>
            <w:bottom w:val="none" w:sz="0" w:space="0" w:color="auto"/>
            <w:right w:val="none" w:sz="0" w:space="0" w:color="auto"/>
          </w:divBdr>
        </w:div>
        <w:div w:id="2127846446">
          <w:marLeft w:val="0"/>
          <w:marRight w:val="0"/>
          <w:marTop w:val="0"/>
          <w:marBottom w:val="0"/>
          <w:divBdr>
            <w:top w:val="none" w:sz="0" w:space="0" w:color="auto"/>
            <w:left w:val="none" w:sz="0" w:space="0" w:color="auto"/>
            <w:bottom w:val="none" w:sz="0" w:space="0" w:color="auto"/>
            <w:right w:val="none" w:sz="0" w:space="0" w:color="auto"/>
          </w:divBdr>
        </w:div>
      </w:divsChild>
    </w:div>
    <w:div w:id="1897087557">
      <w:bodyDiv w:val="1"/>
      <w:marLeft w:val="0"/>
      <w:marRight w:val="0"/>
      <w:marTop w:val="0"/>
      <w:marBottom w:val="0"/>
      <w:divBdr>
        <w:top w:val="none" w:sz="0" w:space="0" w:color="auto"/>
        <w:left w:val="none" w:sz="0" w:space="0" w:color="auto"/>
        <w:bottom w:val="none" w:sz="0" w:space="0" w:color="auto"/>
        <w:right w:val="none" w:sz="0" w:space="0" w:color="auto"/>
      </w:divBdr>
      <w:divsChild>
        <w:div w:id="1814638264">
          <w:marLeft w:val="0"/>
          <w:marRight w:val="0"/>
          <w:marTop w:val="0"/>
          <w:marBottom w:val="0"/>
          <w:divBdr>
            <w:top w:val="none" w:sz="0" w:space="0" w:color="auto"/>
            <w:left w:val="none" w:sz="0" w:space="0" w:color="auto"/>
            <w:bottom w:val="none" w:sz="0" w:space="0" w:color="auto"/>
            <w:right w:val="none" w:sz="0" w:space="0" w:color="auto"/>
          </w:divBdr>
          <w:divsChild>
            <w:div w:id="1984037124">
              <w:marLeft w:val="0"/>
              <w:marRight w:val="0"/>
              <w:marTop w:val="0"/>
              <w:marBottom w:val="0"/>
              <w:divBdr>
                <w:top w:val="none" w:sz="0" w:space="0" w:color="auto"/>
                <w:left w:val="none" w:sz="0" w:space="0" w:color="auto"/>
                <w:bottom w:val="none" w:sz="0" w:space="0" w:color="auto"/>
                <w:right w:val="none" w:sz="0" w:space="0" w:color="auto"/>
              </w:divBdr>
              <w:divsChild>
                <w:div w:id="2025208572">
                  <w:marLeft w:val="0"/>
                  <w:marRight w:val="0"/>
                  <w:marTop w:val="0"/>
                  <w:marBottom w:val="0"/>
                  <w:divBdr>
                    <w:top w:val="none" w:sz="0" w:space="0" w:color="auto"/>
                    <w:left w:val="none" w:sz="0" w:space="0" w:color="auto"/>
                    <w:bottom w:val="none" w:sz="0" w:space="0" w:color="auto"/>
                    <w:right w:val="none" w:sz="0" w:space="0" w:color="auto"/>
                  </w:divBdr>
                  <w:divsChild>
                    <w:div w:id="813720296">
                      <w:marLeft w:val="0"/>
                      <w:marRight w:val="0"/>
                      <w:marTop w:val="0"/>
                      <w:marBottom w:val="0"/>
                      <w:divBdr>
                        <w:top w:val="none" w:sz="0" w:space="0" w:color="auto"/>
                        <w:left w:val="none" w:sz="0" w:space="0" w:color="auto"/>
                        <w:bottom w:val="none" w:sz="0" w:space="0" w:color="auto"/>
                        <w:right w:val="none" w:sz="0" w:space="0" w:color="auto"/>
                      </w:divBdr>
                      <w:divsChild>
                        <w:div w:id="758334077">
                          <w:marLeft w:val="0"/>
                          <w:marRight w:val="0"/>
                          <w:marTop w:val="0"/>
                          <w:marBottom w:val="0"/>
                          <w:divBdr>
                            <w:top w:val="none" w:sz="0" w:space="0" w:color="auto"/>
                            <w:left w:val="none" w:sz="0" w:space="0" w:color="auto"/>
                            <w:bottom w:val="none" w:sz="0" w:space="0" w:color="auto"/>
                            <w:right w:val="none" w:sz="0" w:space="0" w:color="auto"/>
                          </w:divBdr>
                          <w:divsChild>
                            <w:div w:id="1943412993">
                              <w:marLeft w:val="0"/>
                              <w:marRight w:val="0"/>
                              <w:marTop w:val="0"/>
                              <w:marBottom w:val="0"/>
                              <w:divBdr>
                                <w:top w:val="none" w:sz="0" w:space="0" w:color="auto"/>
                                <w:left w:val="none" w:sz="0" w:space="0" w:color="auto"/>
                                <w:bottom w:val="none" w:sz="0" w:space="0" w:color="auto"/>
                                <w:right w:val="none" w:sz="0" w:space="0" w:color="auto"/>
                              </w:divBdr>
                              <w:divsChild>
                                <w:div w:id="1069112399">
                                  <w:marLeft w:val="0"/>
                                  <w:marRight w:val="0"/>
                                  <w:marTop w:val="0"/>
                                  <w:marBottom w:val="0"/>
                                  <w:divBdr>
                                    <w:top w:val="none" w:sz="0" w:space="0" w:color="auto"/>
                                    <w:left w:val="none" w:sz="0" w:space="0" w:color="auto"/>
                                    <w:bottom w:val="none" w:sz="0" w:space="0" w:color="auto"/>
                                    <w:right w:val="none" w:sz="0" w:space="0" w:color="auto"/>
                                  </w:divBdr>
                                  <w:divsChild>
                                    <w:div w:id="205719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7709">
                          <w:marLeft w:val="0"/>
                          <w:marRight w:val="0"/>
                          <w:marTop w:val="0"/>
                          <w:marBottom w:val="0"/>
                          <w:divBdr>
                            <w:top w:val="none" w:sz="0" w:space="0" w:color="auto"/>
                            <w:left w:val="none" w:sz="0" w:space="0" w:color="auto"/>
                            <w:bottom w:val="none" w:sz="0" w:space="0" w:color="auto"/>
                            <w:right w:val="none" w:sz="0" w:space="0" w:color="auto"/>
                          </w:divBdr>
                          <w:divsChild>
                            <w:div w:id="1794712178">
                              <w:marLeft w:val="0"/>
                              <w:marRight w:val="0"/>
                              <w:marTop w:val="0"/>
                              <w:marBottom w:val="0"/>
                              <w:divBdr>
                                <w:top w:val="none" w:sz="0" w:space="0" w:color="auto"/>
                                <w:left w:val="none" w:sz="0" w:space="0" w:color="auto"/>
                                <w:bottom w:val="none" w:sz="0" w:space="0" w:color="auto"/>
                                <w:right w:val="none" w:sz="0" w:space="0" w:color="auto"/>
                              </w:divBdr>
                              <w:divsChild>
                                <w:div w:id="114951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8923627">
      <w:bodyDiv w:val="1"/>
      <w:marLeft w:val="0"/>
      <w:marRight w:val="0"/>
      <w:marTop w:val="0"/>
      <w:marBottom w:val="0"/>
      <w:divBdr>
        <w:top w:val="none" w:sz="0" w:space="0" w:color="auto"/>
        <w:left w:val="none" w:sz="0" w:space="0" w:color="auto"/>
        <w:bottom w:val="none" w:sz="0" w:space="0" w:color="auto"/>
        <w:right w:val="none" w:sz="0" w:space="0" w:color="auto"/>
      </w:divBdr>
    </w:div>
    <w:div w:id="1998613196">
      <w:bodyDiv w:val="1"/>
      <w:marLeft w:val="0"/>
      <w:marRight w:val="0"/>
      <w:marTop w:val="0"/>
      <w:marBottom w:val="0"/>
      <w:divBdr>
        <w:top w:val="none" w:sz="0" w:space="0" w:color="auto"/>
        <w:left w:val="none" w:sz="0" w:space="0" w:color="auto"/>
        <w:bottom w:val="none" w:sz="0" w:space="0" w:color="auto"/>
        <w:right w:val="none" w:sz="0" w:space="0" w:color="auto"/>
      </w:divBdr>
      <w:divsChild>
        <w:div w:id="840436897">
          <w:marLeft w:val="0"/>
          <w:marRight w:val="0"/>
          <w:marTop w:val="0"/>
          <w:marBottom w:val="0"/>
          <w:divBdr>
            <w:top w:val="none" w:sz="0" w:space="0" w:color="auto"/>
            <w:left w:val="none" w:sz="0" w:space="0" w:color="auto"/>
            <w:bottom w:val="none" w:sz="0" w:space="0" w:color="auto"/>
            <w:right w:val="none" w:sz="0" w:space="0" w:color="auto"/>
          </w:divBdr>
          <w:divsChild>
            <w:div w:id="66850938">
              <w:marLeft w:val="0"/>
              <w:marRight w:val="0"/>
              <w:marTop w:val="0"/>
              <w:marBottom w:val="0"/>
              <w:divBdr>
                <w:top w:val="none" w:sz="0" w:space="0" w:color="auto"/>
                <w:left w:val="none" w:sz="0" w:space="0" w:color="auto"/>
                <w:bottom w:val="none" w:sz="0" w:space="0" w:color="auto"/>
                <w:right w:val="none" w:sz="0" w:space="0" w:color="auto"/>
              </w:divBdr>
              <w:divsChild>
                <w:div w:id="63308612">
                  <w:marLeft w:val="0"/>
                  <w:marRight w:val="0"/>
                  <w:marTop w:val="0"/>
                  <w:marBottom w:val="0"/>
                  <w:divBdr>
                    <w:top w:val="none" w:sz="0" w:space="0" w:color="auto"/>
                    <w:left w:val="none" w:sz="0" w:space="0" w:color="auto"/>
                    <w:bottom w:val="none" w:sz="0" w:space="0" w:color="auto"/>
                    <w:right w:val="none" w:sz="0" w:space="0" w:color="auto"/>
                  </w:divBdr>
                </w:div>
                <w:div w:id="507600893">
                  <w:marLeft w:val="0"/>
                  <w:marRight w:val="0"/>
                  <w:marTop w:val="0"/>
                  <w:marBottom w:val="0"/>
                  <w:divBdr>
                    <w:top w:val="none" w:sz="0" w:space="0" w:color="auto"/>
                    <w:left w:val="none" w:sz="0" w:space="0" w:color="auto"/>
                    <w:bottom w:val="none" w:sz="0" w:space="0" w:color="auto"/>
                    <w:right w:val="none" w:sz="0" w:space="0" w:color="auto"/>
                  </w:divBdr>
                </w:div>
                <w:div w:id="676425165">
                  <w:marLeft w:val="0"/>
                  <w:marRight w:val="0"/>
                  <w:marTop w:val="0"/>
                  <w:marBottom w:val="0"/>
                  <w:divBdr>
                    <w:top w:val="none" w:sz="0" w:space="0" w:color="auto"/>
                    <w:left w:val="none" w:sz="0" w:space="0" w:color="auto"/>
                    <w:bottom w:val="none" w:sz="0" w:space="0" w:color="auto"/>
                    <w:right w:val="none" w:sz="0" w:space="0" w:color="auto"/>
                  </w:divBdr>
                </w:div>
                <w:div w:id="980883284">
                  <w:marLeft w:val="0"/>
                  <w:marRight w:val="0"/>
                  <w:marTop w:val="0"/>
                  <w:marBottom w:val="0"/>
                  <w:divBdr>
                    <w:top w:val="none" w:sz="0" w:space="0" w:color="auto"/>
                    <w:left w:val="none" w:sz="0" w:space="0" w:color="auto"/>
                    <w:bottom w:val="none" w:sz="0" w:space="0" w:color="auto"/>
                    <w:right w:val="none" w:sz="0" w:space="0" w:color="auto"/>
                  </w:divBdr>
                </w:div>
                <w:div w:id="1039889539">
                  <w:marLeft w:val="0"/>
                  <w:marRight w:val="0"/>
                  <w:marTop w:val="0"/>
                  <w:marBottom w:val="0"/>
                  <w:divBdr>
                    <w:top w:val="none" w:sz="0" w:space="0" w:color="auto"/>
                    <w:left w:val="none" w:sz="0" w:space="0" w:color="auto"/>
                    <w:bottom w:val="none" w:sz="0" w:space="0" w:color="auto"/>
                    <w:right w:val="none" w:sz="0" w:space="0" w:color="auto"/>
                  </w:divBdr>
                </w:div>
                <w:div w:id="1294368215">
                  <w:marLeft w:val="0"/>
                  <w:marRight w:val="0"/>
                  <w:marTop w:val="0"/>
                  <w:marBottom w:val="0"/>
                  <w:divBdr>
                    <w:top w:val="none" w:sz="0" w:space="0" w:color="auto"/>
                    <w:left w:val="none" w:sz="0" w:space="0" w:color="auto"/>
                    <w:bottom w:val="none" w:sz="0" w:space="0" w:color="auto"/>
                    <w:right w:val="none" w:sz="0" w:space="0" w:color="auto"/>
                  </w:divBdr>
                </w:div>
                <w:div w:id="1297224433">
                  <w:marLeft w:val="0"/>
                  <w:marRight w:val="0"/>
                  <w:marTop w:val="0"/>
                  <w:marBottom w:val="0"/>
                  <w:divBdr>
                    <w:top w:val="none" w:sz="0" w:space="0" w:color="auto"/>
                    <w:left w:val="none" w:sz="0" w:space="0" w:color="auto"/>
                    <w:bottom w:val="none" w:sz="0" w:space="0" w:color="auto"/>
                    <w:right w:val="none" w:sz="0" w:space="0" w:color="auto"/>
                  </w:divBdr>
                </w:div>
                <w:div w:id="1459177339">
                  <w:marLeft w:val="0"/>
                  <w:marRight w:val="0"/>
                  <w:marTop w:val="0"/>
                  <w:marBottom w:val="0"/>
                  <w:divBdr>
                    <w:top w:val="none" w:sz="0" w:space="0" w:color="auto"/>
                    <w:left w:val="none" w:sz="0" w:space="0" w:color="auto"/>
                    <w:bottom w:val="none" w:sz="0" w:space="0" w:color="auto"/>
                    <w:right w:val="none" w:sz="0" w:space="0" w:color="auto"/>
                  </w:divBdr>
                </w:div>
                <w:div w:id="1633903714">
                  <w:marLeft w:val="0"/>
                  <w:marRight w:val="0"/>
                  <w:marTop w:val="0"/>
                  <w:marBottom w:val="0"/>
                  <w:divBdr>
                    <w:top w:val="none" w:sz="0" w:space="0" w:color="auto"/>
                    <w:left w:val="none" w:sz="0" w:space="0" w:color="auto"/>
                    <w:bottom w:val="none" w:sz="0" w:space="0" w:color="auto"/>
                    <w:right w:val="none" w:sz="0" w:space="0" w:color="auto"/>
                  </w:divBdr>
                </w:div>
                <w:div w:id="1900825596">
                  <w:marLeft w:val="0"/>
                  <w:marRight w:val="0"/>
                  <w:marTop w:val="0"/>
                  <w:marBottom w:val="0"/>
                  <w:divBdr>
                    <w:top w:val="none" w:sz="0" w:space="0" w:color="auto"/>
                    <w:left w:val="none" w:sz="0" w:space="0" w:color="auto"/>
                    <w:bottom w:val="none" w:sz="0" w:space="0" w:color="auto"/>
                    <w:right w:val="none" w:sz="0" w:space="0" w:color="auto"/>
                  </w:divBdr>
                </w:div>
              </w:divsChild>
            </w:div>
            <w:div w:id="40587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2051EC-3510-471C-AA90-0988A8014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971</Words>
  <Characters>5538</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2021-06-01T16:14:00Z</dcterms:created>
  <dcterms:modified xsi:type="dcterms:W3CDTF">2025-05-21T10:48:00Z</dcterms:modified>
</cp:coreProperties>
</file>