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7DCD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005B0D04" w:rsidR="00286395" w:rsidRPr="007E1727" w:rsidRDefault="0079639B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ACC501</w:t>
      </w:r>
      <w:r w:rsidR="004C5ED0">
        <w:rPr>
          <w:b/>
          <w:bCs/>
        </w:rPr>
        <w:t xml:space="preserve"> </w:t>
      </w:r>
      <w:r w:rsidR="0063214E">
        <w:rPr>
          <w:b/>
          <w:bCs/>
        </w:rPr>
        <w:t xml:space="preserve">SLP </w:t>
      </w:r>
      <w:r w:rsidR="00E046B3" w:rsidRPr="007E1727">
        <w:rPr>
          <w:b/>
          <w:bCs/>
        </w:rPr>
        <w:t>1</w:t>
      </w:r>
    </w:p>
    <w:p w14:paraId="215330E4" w14:textId="77777777" w:rsidR="00286395" w:rsidRPr="007E1727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Pr="007E1727" w:rsidRDefault="00454CAF" w:rsidP="00F378C4">
      <w:pPr>
        <w:spacing w:line="480" w:lineRule="auto"/>
        <w:jc w:val="center"/>
      </w:pPr>
      <w:r w:rsidRPr="007E1727">
        <w:t>Your Name</w:t>
      </w:r>
    </w:p>
    <w:p w14:paraId="02750D95" w14:textId="77777777" w:rsidR="00454CAF" w:rsidRPr="007E1727" w:rsidRDefault="00454CAF" w:rsidP="00F378C4">
      <w:pPr>
        <w:spacing w:line="480" w:lineRule="auto"/>
        <w:jc w:val="center"/>
      </w:pPr>
      <w:r w:rsidRPr="007E1727">
        <w:t xml:space="preserve">Trident University International </w:t>
      </w:r>
    </w:p>
    <w:p w14:paraId="27BBC8F8" w14:textId="6A19A1E4" w:rsidR="0079639B" w:rsidRDefault="0079639B" w:rsidP="00F378C4">
      <w:pPr>
        <w:spacing w:line="480" w:lineRule="auto"/>
        <w:jc w:val="center"/>
      </w:pPr>
      <w:r w:rsidRPr="0079639B">
        <w:t xml:space="preserve">ACC501 Accounting for Decision Making </w:t>
      </w:r>
    </w:p>
    <w:p w14:paraId="54C389E1" w14:textId="7498DF4F" w:rsidR="00844EE7" w:rsidRPr="007E1727" w:rsidRDefault="00454CAF" w:rsidP="00F378C4">
      <w:pPr>
        <w:spacing w:line="480" w:lineRule="auto"/>
        <w:jc w:val="center"/>
      </w:pPr>
      <w:r w:rsidRPr="007E1727">
        <w:t>Due Date</w:t>
      </w:r>
    </w:p>
    <w:p w14:paraId="6C8D5EF8" w14:textId="56D46919" w:rsidR="003C7F15" w:rsidRPr="007E1727" w:rsidRDefault="00352E8D" w:rsidP="00D6768F">
      <w:pPr>
        <w:spacing w:line="480" w:lineRule="auto"/>
        <w:rPr>
          <w:b/>
          <w:bCs/>
        </w:rPr>
      </w:pPr>
      <w:r w:rsidRPr="007E1727">
        <w:br w:type="page"/>
      </w:r>
    </w:p>
    <w:p w14:paraId="1DF862F2" w14:textId="4B84303D" w:rsidR="00D200BF" w:rsidRDefault="00C65516" w:rsidP="002F719A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Introduction</w:t>
      </w:r>
    </w:p>
    <w:p w14:paraId="2989AA7E" w14:textId="44390B2E" w:rsidR="008D5565" w:rsidRPr="0025049A" w:rsidRDefault="008D5565" w:rsidP="002F719A">
      <w:pPr>
        <w:spacing w:line="480" w:lineRule="auto"/>
        <w:jc w:val="both"/>
      </w:pPr>
      <w:r w:rsidRPr="008D5565">
        <w:tab/>
      </w:r>
      <w:r>
        <w:t>The report deals with today’s</w:t>
      </w:r>
      <w:r w:rsidRPr="008D5565">
        <w:t xml:space="preserve"> evolving business environment; financial performance alone no longer defines long-term success. </w:t>
      </w:r>
      <w:r>
        <w:t xml:space="preserve">However, it also tends to </w:t>
      </w:r>
      <w:r w:rsidRPr="008D5565">
        <w:t xml:space="preserve">evaluate the financial and triple bottom line performance of </w:t>
      </w:r>
      <w:proofErr w:type="spellStart"/>
      <w:r w:rsidRPr="008D5565">
        <w:t>GlowEarth</w:t>
      </w:r>
      <w:proofErr w:type="spellEnd"/>
      <w:r w:rsidRPr="008D5565">
        <w:t xml:space="preserve"> Candles, a small eco-friendly manufacturing company, to assess its profitability, sustainability initiatives, and overall organizational health.</w:t>
      </w:r>
    </w:p>
    <w:p w14:paraId="5C82B447" w14:textId="77777777" w:rsidR="0063214E" w:rsidRDefault="0063214E" w:rsidP="002F719A">
      <w:pPr>
        <w:spacing w:line="480" w:lineRule="auto"/>
        <w:jc w:val="center"/>
        <w:rPr>
          <w:b/>
          <w:bCs/>
        </w:rPr>
      </w:pPr>
      <w:bookmarkStart w:id="0" w:name="_Hlk158375419"/>
      <w:r w:rsidRPr="00835D81">
        <w:rPr>
          <w:b/>
          <w:bCs/>
        </w:rPr>
        <w:t>Analyze the Traditional Financial Reports</w:t>
      </w:r>
    </w:p>
    <w:p w14:paraId="4423C0D3" w14:textId="44375904" w:rsidR="008D5565" w:rsidRDefault="008D5565" w:rsidP="002F719A">
      <w:pPr>
        <w:spacing w:line="480" w:lineRule="auto"/>
        <w:jc w:val="both"/>
      </w:pPr>
      <w:r>
        <w:tab/>
        <w:t xml:space="preserve">On the basis of requirement, </w:t>
      </w:r>
      <w:r w:rsidR="0025049A">
        <w:t>the following</w:t>
      </w:r>
      <w:r>
        <w:t xml:space="preserve"> are the section which involves analysis of financial reports which are generated using prompts.  </w:t>
      </w:r>
    </w:p>
    <w:p w14:paraId="610EA3DC" w14:textId="09C0CA76" w:rsidR="0063214E" w:rsidRDefault="0063214E" w:rsidP="002F719A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Income Statement Analysis</w:t>
      </w:r>
    </w:p>
    <w:p w14:paraId="634B7A33" w14:textId="67A30ED1" w:rsidR="008D5565" w:rsidRPr="008D5565" w:rsidRDefault="008D5565" w:rsidP="002F719A">
      <w:pPr>
        <w:spacing w:line="480" w:lineRule="auto"/>
        <w:jc w:val="both"/>
      </w:pPr>
      <w:r>
        <w:rPr>
          <w:b/>
          <w:bCs/>
        </w:rPr>
        <w:tab/>
      </w:r>
      <w:r w:rsidR="0025049A">
        <w:t xml:space="preserve">The section deals with the </w:t>
      </w:r>
      <w:proofErr w:type="spellStart"/>
      <w:r w:rsidRPr="008D5565">
        <w:t>GlowEarth</w:t>
      </w:r>
      <w:proofErr w:type="spellEnd"/>
      <w:r w:rsidRPr="008D5565">
        <w:t xml:space="preserve"> Candles’ income statement for the most recent fiscal year reveals a total revenue of $430,000, derived from sales of </w:t>
      </w:r>
      <w:r w:rsidR="0025049A" w:rsidRPr="008D5565">
        <w:t>eco</w:t>
      </w:r>
      <w:r w:rsidRPr="008D5565">
        <w:t xml:space="preserve">-friendly candle products. </w:t>
      </w:r>
      <w:r w:rsidR="0025049A">
        <w:t xml:space="preserve">Nevertheless, it tends to comprise the </w:t>
      </w:r>
      <w:r w:rsidRPr="008D5565">
        <w:t xml:space="preserve">cost of goods sold (COGS) </w:t>
      </w:r>
      <w:r w:rsidR="0025049A" w:rsidRPr="008D5565">
        <w:t>amounting</w:t>
      </w:r>
      <w:r w:rsidRPr="008D5565">
        <w:t xml:space="preserve"> to $180,000, resulting in a gross profit of $250,000</w:t>
      </w:r>
      <w:r w:rsidR="0025049A">
        <w:t xml:space="preserve"> and o</w:t>
      </w:r>
      <w:r w:rsidRPr="008D5565">
        <w:t xml:space="preserve">perating expenses </w:t>
      </w:r>
      <w:r w:rsidR="0025049A" w:rsidRPr="008D5565">
        <w:t>totaling</w:t>
      </w:r>
      <w:r w:rsidRPr="008D5565">
        <w:t xml:space="preserve"> $140,000, which included salaries, rent, marketing, R&amp;D, and depreciation</w:t>
      </w:r>
      <w:r w:rsidR="0024647E">
        <w:t xml:space="preserve"> </w:t>
      </w:r>
      <w:r w:rsidR="0024647E" w:rsidRPr="0024647E">
        <w:t>(</w:t>
      </w:r>
      <w:proofErr w:type="spellStart"/>
      <w:r w:rsidR="0024647E" w:rsidRPr="0024647E">
        <w:t>Battiston</w:t>
      </w:r>
      <w:proofErr w:type="spellEnd"/>
      <w:r w:rsidR="0024647E" w:rsidRPr="0024647E">
        <w:t xml:space="preserve">, </w:t>
      </w:r>
      <w:proofErr w:type="spellStart"/>
      <w:r w:rsidR="0024647E" w:rsidRPr="0024647E">
        <w:t>Dafermos</w:t>
      </w:r>
      <w:proofErr w:type="spellEnd"/>
      <w:r w:rsidR="0024647E" w:rsidRPr="0024647E">
        <w:t xml:space="preserve">, &amp; </w:t>
      </w:r>
      <w:proofErr w:type="spellStart"/>
      <w:r w:rsidR="0024647E" w:rsidRPr="0024647E">
        <w:t>Monasterolo</w:t>
      </w:r>
      <w:proofErr w:type="spellEnd"/>
      <w:r w:rsidR="0024647E" w:rsidRPr="0024647E">
        <w:t>, 2021)</w:t>
      </w:r>
      <w:r w:rsidRPr="008D5565">
        <w:t xml:space="preserve">. </w:t>
      </w:r>
      <w:r w:rsidR="0025049A">
        <w:t>However, it tends to state that a</w:t>
      </w:r>
      <w:r w:rsidRPr="008D5565">
        <w:t>fter deducting these expenses, the company reported an operating profit of $110,000</w:t>
      </w:r>
      <w:r w:rsidR="0025049A">
        <w:t xml:space="preserve"> and w</w:t>
      </w:r>
      <w:r w:rsidRPr="008D5565">
        <w:t>ith interest expenses of $5,000 and taxes of $53,000, the final net profit stood at $52,000, reflecting a steady performance amid a competitive and inflation-sensitive manufacturing environment.</w:t>
      </w:r>
    </w:p>
    <w:p w14:paraId="619BDA41" w14:textId="5FF0F522" w:rsidR="008D5565" w:rsidRPr="008D5565" w:rsidRDefault="0025049A" w:rsidP="002F719A">
      <w:pPr>
        <w:spacing w:line="480" w:lineRule="auto"/>
        <w:ind w:firstLine="720"/>
        <w:jc w:val="both"/>
      </w:pPr>
      <w:r>
        <w:t xml:space="preserve">It is evident from the studies that the </w:t>
      </w:r>
      <w:r w:rsidR="008D5565" w:rsidRPr="008D5565">
        <w:t>income statement illustrates three critical components: revenue, expenses, and profitability</w:t>
      </w:r>
      <w:r w:rsidR="0024647E">
        <w:t xml:space="preserve"> </w:t>
      </w:r>
      <w:r w:rsidR="0024647E" w:rsidRPr="0024647E">
        <w:t>(</w:t>
      </w:r>
      <w:proofErr w:type="spellStart"/>
      <w:r w:rsidR="0024647E" w:rsidRPr="0024647E">
        <w:t>Battiston</w:t>
      </w:r>
      <w:proofErr w:type="spellEnd"/>
      <w:r w:rsidR="0024647E" w:rsidRPr="0024647E">
        <w:t xml:space="preserve">, </w:t>
      </w:r>
      <w:proofErr w:type="spellStart"/>
      <w:r w:rsidR="0024647E" w:rsidRPr="0024647E">
        <w:t>Dafermos</w:t>
      </w:r>
      <w:proofErr w:type="spellEnd"/>
      <w:r w:rsidR="0024647E" w:rsidRPr="0024647E">
        <w:t xml:space="preserve">, &amp; </w:t>
      </w:r>
      <w:proofErr w:type="spellStart"/>
      <w:r w:rsidR="0024647E" w:rsidRPr="0024647E">
        <w:t>Monasterolo</w:t>
      </w:r>
      <w:proofErr w:type="spellEnd"/>
      <w:r w:rsidR="0024647E" w:rsidRPr="0024647E">
        <w:t>, 2021)</w:t>
      </w:r>
      <w:r w:rsidR="008D5565" w:rsidRPr="008D5565">
        <w:t xml:space="preserve">. </w:t>
      </w:r>
      <w:r>
        <w:t>It also includes the r</w:t>
      </w:r>
      <w:r w:rsidR="008D5565" w:rsidRPr="008D5565">
        <w:t xml:space="preserve">evenue </w:t>
      </w:r>
      <w:r>
        <w:t xml:space="preserve">which </w:t>
      </w:r>
      <w:r w:rsidR="008D5565" w:rsidRPr="008D5565">
        <w:t>represents the total income from candle sales</w:t>
      </w:r>
      <w:r>
        <w:t xml:space="preserve"> and e</w:t>
      </w:r>
      <w:r w:rsidR="008D5565" w:rsidRPr="008D5565">
        <w:t xml:space="preserve">xpenses are subdivided into direct (COGS) and indirect (operating expenses), showing the </w:t>
      </w:r>
      <w:r w:rsidRPr="008D5565">
        <w:t>business’</w:t>
      </w:r>
      <w:r w:rsidR="008D5565" w:rsidRPr="008D5565">
        <w:t xml:space="preserve"> cost structure. </w:t>
      </w:r>
      <w:r>
        <w:t>Based on t</w:t>
      </w:r>
      <w:r w:rsidR="008D5565" w:rsidRPr="008D5565">
        <w:t xml:space="preserve">he company’s </w:t>
      </w:r>
      <w:r w:rsidRPr="008D5565">
        <w:t>profitability,</w:t>
      </w:r>
      <w:r w:rsidR="008D5565" w:rsidRPr="008D5565">
        <w:t xml:space="preserve"> </w:t>
      </w:r>
      <w:r>
        <w:t xml:space="preserve">which </w:t>
      </w:r>
      <w:r w:rsidR="008D5565" w:rsidRPr="008D5565">
        <w:t xml:space="preserve">is reflected in three key </w:t>
      </w:r>
      <w:r w:rsidR="0024647E" w:rsidRPr="008D5565">
        <w:t>margins,</w:t>
      </w:r>
      <w:r>
        <w:t xml:space="preserve"> such as </w:t>
      </w:r>
      <w:r w:rsidRPr="008D5565">
        <w:t>the gross</w:t>
      </w:r>
      <w:r w:rsidR="008D5565" w:rsidRPr="008D5565">
        <w:t xml:space="preserve"> profit margin </w:t>
      </w:r>
      <w:r w:rsidR="008D5565" w:rsidRPr="008D5565">
        <w:lastRenderedPageBreak/>
        <w:t>is calculated by dividing gross profit ($250,000) by revenue ($430,000), yielding approximately 58.1%</w:t>
      </w:r>
      <w:r>
        <w:t xml:space="preserve"> and t</w:t>
      </w:r>
      <w:r w:rsidR="008D5565" w:rsidRPr="008D5565">
        <w:t>his indicates that more than half of the revenue remains after covering production costs, which is a healthy margin for a small manufacturer</w:t>
      </w:r>
      <w:r w:rsidR="0024647E">
        <w:t xml:space="preserve"> </w:t>
      </w:r>
      <w:r w:rsidR="0024647E" w:rsidRPr="0024647E">
        <w:t>(Lei et al., 2022)</w:t>
      </w:r>
      <w:r w:rsidR="008D5565" w:rsidRPr="008D5565">
        <w:t>.</w:t>
      </w:r>
    </w:p>
    <w:p w14:paraId="3310E6C0" w14:textId="7D13BFAB" w:rsidR="008D5565" w:rsidRPr="008D5565" w:rsidRDefault="0025049A" w:rsidP="002F719A">
      <w:pPr>
        <w:spacing w:line="480" w:lineRule="auto"/>
        <w:ind w:firstLine="720"/>
        <w:jc w:val="both"/>
      </w:pPr>
      <w:r>
        <w:t xml:space="preserve">According to the </w:t>
      </w:r>
      <w:r w:rsidR="008D5565" w:rsidRPr="008D5565">
        <w:t>operating margin</w:t>
      </w:r>
      <w:r>
        <w:t xml:space="preserve"> which </w:t>
      </w:r>
      <w:r w:rsidRPr="008D5565">
        <w:t>is derived</w:t>
      </w:r>
      <w:r w:rsidR="008D5565" w:rsidRPr="008D5565">
        <w:t xml:space="preserve"> by dividing operating profit ($110,000) by revenue—comes to approximately 25.6%</w:t>
      </w:r>
      <w:r>
        <w:t xml:space="preserve"> and t</w:t>
      </w:r>
      <w:r w:rsidR="008D5565" w:rsidRPr="008D5565">
        <w:t xml:space="preserve">his figure reflects how efficiently the company manages its core operations excluding interest and taxes. </w:t>
      </w:r>
      <w:r>
        <w:t xml:space="preserve">So, on the basis of that the </w:t>
      </w:r>
      <w:r w:rsidR="008D5565" w:rsidRPr="008D5565">
        <w:t xml:space="preserve">net profit margin (net income divided by revenue) is approximately 12.1%, meaning that for every dollar earned in sales, about 12 cents is retained as profit after all expenses. </w:t>
      </w:r>
      <w:r>
        <w:t>Based on t</w:t>
      </w:r>
      <w:r w:rsidR="008D5565" w:rsidRPr="008D5565">
        <w:t xml:space="preserve">hese margins </w:t>
      </w:r>
      <w:r>
        <w:t xml:space="preserve">which </w:t>
      </w:r>
      <w:r w:rsidR="008D5565" w:rsidRPr="008D5565">
        <w:t xml:space="preserve">are essential indicators of financial health, and </w:t>
      </w:r>
      <w:proofErr w:type="spellStart"/>
      <w:r w:rsidR="008D5565" w:rsidRPr="008D5565">
        <w:t>GlowEarth</w:t>
      </w:r>
      <w:proofErr w:type="spellEnd"/>
      <w:r w:rsidR="008D5565" w:rsidRPr="008D5565">
        <w:t xml:space="preserve"> Candles’ performance across all three suggests operational efficiency and financial discipline</w:t>
      </w:r>
      <w:r w:rsidR="0024647E">
        <w:t xml:space="preserve"> </w:t>
      </w:r>
      <w:r w:rsidR="0024647E" w:rsidRPr="0024647E">
        <w:t>(Lei et al., 2022)</w:t>
      </w:r>
      <w:r w:rsidR="008D5565" w:rsidRPr="008D5565">
        <w:t>.</w:t>
      </w:r>
    </w:p>
    <w:p w14:paraId="63F379E5" w14:textId="7276592A" w:rsidR="008D5565" w:rsidRDefault="0025049A" w:rsidP="002F719A">
      <w:pPr>
        <w:spacing w:line="480" w:lineRule="auto"/>
        <w:ind w:firstLine="720"/>
        <w:jc w:val="both"/>
      </w:pPr>
      <w:r>
        <w:t xml:space="preserve">It also tends to analyse that </w:t>
      </w:r>
      <w:r w:rsidR="008D5565" w:rsidRPr="008D5565">
        <w:t xml:space="preserve">when compared to industry benchmarks for small manufacturers in the U.S., </w:t>
      </w:r>
      <w:proofErr w:type="spellStart"/>
      <w:r w:rsidR="008D5565" w:rsidRPr="008D5565">
        <w:t>GlowEarth’s</w:t>
      </w:r>
      <w:proofErr w:type="spellEnd"/>
      <w:r w:rsidR="008D5565" w:rsidRPr="008D5565">
        <w:t xml:space="preserve"> profitability ratios fall within a favorable range. </w:t>
      </w:r>
      <w:r>
        <w:t xml:space="preserve">In accordance with the </w:t>
      </w:r>
      <w:r w:rsidR="008D5565" w:rsidRPr="008D5565">
        <w:t xml:space="preserve">net profit </w:t>
      </w:r>
      <w:r w:rsidR="00D6744D" w:rsidRPr="008D5565">
        <w:t>margin,</w:t>
      </w:r>
      <w:r w:rsidR="008D5565" w:rsidRPr="008D5565">
        <w:t xml:space="preserve"> </w:t>
      </w:r>
      <w:r>
        <w:t xml:space="preserve">which tends to be </w:t>
      </w:r>
      <w:r w:rsidR="008D5565" w:rsidRPr="008D5565">
        <w:t>above 10% is generally seen as robust in a consumer products business, particularly one with environmental and social investment commitments</w:t>
      </w:r>
      <w:r w:rsidR="006C2005">
        <w:t xml:space="preserve"> </w:t>
      </w:r>
      <w:r w:rsidR="006C2005" w:rsidRPr="006C2005">
        <w:t>(Oyewole et al., 2024)</w:t>
      </w:r>
      <w:r w:rsidR="008D5565" w:rsidRPr="008D5565">
        <w:t xml:space="preserve">. </w:t>
      </w:r>
      <w:r>
        <w:t>Based on that t</w:t>
      </w:r>
      <w:r w:rsidR="008D5565" w:rsidRPr="008D5565">
        <w:t>his suggests that the company has been able to balance its sustainability goals without sacrificing core profitability, positioning it well for future growth.</w:t>
      </w:r>
    </w:p>
    <w:p w14:paraId="733FC80F" w14:textId="274741BF" w:rsidR="00D6744D" w:rsidRDefault="00D6744D" w:rsidP="008D5565">
      <w:pPr>
        <w:spacing w:line="480" w:lineRule="auto"/>
        <w:ind w:firstLine="720"/>
      </w:pPr>
      <w:r>
        <w:rPr>
          <w:noProof/>
        </w:rPr>
        <w:lastRenderedPageBreak/>
        <w:drawing>
          <wp:inline distT="0" distB="0" distL="0" distR="0" wp14:anchorId="73B1F601" wp14:editId="44845861">
            <wp:extent cx="5943600" cy="2816225"/>
            <wp:effectExtent l="0" t="0" r="0" b="3175"/>
            <wp:docPr id="159956893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6893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34689" w14:textId="283EA364" w:rsidR="00D6744D" w:rsidRDefault="00D6744D" w:rsidP="008D5565">
      <w:pPr>
        <w:spacing w:line="480" w:lineRule="auto"/>
        <w:ind w:firstLine="720"/>
      </w:pPr>
      <w:r>
        <w:rPr>
          <w:noProof/>
        </w:rPr>
        <w:drawing>
          <wp:inline distT="0" distB="0" distL="0" distR="0" wp14:anchorId="060F011C" wp14:editId="5EBF030C">
            <wp:extent cx="5943600" cy="2472055"/>
            <wp:effectExtent l="0" t="0" r="0" b="4445"/>
            <wp:docPr id="135484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43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09774" w14:textId="51583A0E" w:rsidR="00D6744D" w:rsidRDefault="00D6744D" w:rsidP="008D5565">
      <w:pPr>
        <w:spacing w:line="480" w:lineRule="auto"/>
        <w:ind w:firstLine="720"/>
      </w:pPr>
      <w:r>
        <w:rPr>
          <w:noProof/>
        </w:rPr>
        <w:drawing>
          <wp:inline distT="0" distB="0" distL="0" distR="0" wp14:anchorId="40B81EC7" wp14:editId="60820CA2">
            <wp:extent cx="5943600" cy="2419350"/>
            <wp:effectExtent l="0" t="0" r="0" b="0"/>
            <wp:docPr id="16858863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8637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72E2C" w14:textId="63CE3CCA" w:rsidR="00D6744D" w:rsidRPr="008D5565" w:rsidRDefault="00D6744D" w:rsidP="00D6744D">
      <w:pPr>
        <w:pStyle w:val="Caption"/>
      </w:pPr>
      <w:r>
        <w:lastRenderedPageBreak/>
        <w:t xml:space="preserve">Figure </w:t>
      </w:r>
      <w:r w:rsidR="00B06052">
        <w:fldChar w:fldCharType="begin"/>
      </w:r>
      <w:r w:rsidR="00B06052">
        <w:instrText xml:space="preserve"> SEQ Figure \* ARABIC </w:instrText>
      </w:r>
      <w:r w:rsidR="00B06052">
        <w:fldChar w:fldCharType="separate"/>
      </w:r>
      <w:r w:rsidR="000B61DF">
        <w:rPr>
          <w:noProof/>
        </w:rPr>
        <w:t>1</w:t>
      </w:r>
      <w:r w:rsidR="00B06052">
        <w:rPr>
          <w:noProof/>
        </w:rPr>
        <w:fldChar w:fldCharType="end"/>
      </w:r>
      <w:r>
        <w:t xml:space="preserve">: </w:t>
      </w:r>
      <w:r w:rsidRPr="00D6744D">
        <w:t>Screenshot 1 – TBL (Single Year)</w:t>
      </w:r>
      <w:r>
        <w:t xml:space="preserve"> (Source: ChatGPT)</w:t>
      </w:r>
    </w:p>
    <w:p w14:paraId="51C1BFA6" w14:textId="77777777" w:rsidR="0063214E" w:rsidRDefault="0063214E" w:rsidP="002F719A">
      <w:pPr>
        <w:spacing w:line="480" w:lineRule="auto"/>
        <w:jc w:val="both"/>
        <w:rPr>
          <w:b/>
          <w:bCs/>
        </w:rPr>
      </w:pPr>
      <w:r w:rsidRPr="00835D81">
        <w:rPr>
          <w:b/>
          <w:bCs/>
        </w:rPr>
        <w:t>Balance Sheet Analysis</w:t>
      </w:r>
    </w:p>
    <w:p w14:paraId="6CA864C4" w14:textId="398919D0" w:rsidR="008D5565" w:rsidRDefault="008D5565" w:rsidP="002F719A">
      <w:pPr>
        <w:spacing w:line="480" w:lineRule="auto"/>
        <w:jc w:val="both"/>
      </w:pPr>
      <w:r>
        <w:rPr>
          <w:b/>
          <w:bCs/>
        </w:rPr>
        <w:tab/>
      </w:r>
      <w:r w:rsidR="00752D25">
        <w:t xml:space="preserve">As per analysis, </w:t>
      </w:r>
      <w:proofErr w:type="spellStart"/>
      <w:r w:rsidRPr="008D5565">
        <w:t>GlowEarth</w:t>
      </w:r>
      <w:proofErr w:type="spellEnd"/>
      <w:r w:rsidRPr="008D5565">
        <w:t xml:space="preserve"> Candles’ balance sheet for the most recent fiscal year presents a clear picture of its financial structure, revealing total assets of $245,000, composed of $110,000 in current assets and $135,000 in net fixed assets. </w:t>
      </w:r>
      <w:r w:rsidR="00752D25">
        <w:t xml:space="preserve">However, in the meanwhile, </w:t>
      </w:r>
      <w:r w:rsidRPr="008D5565">
        <w:t>current assets include cash and equivalents ($42,000), accounts receivable ($28,000), inventory ($36,000), and prepaid expenses ($4,000)</w:t>
      </w:r>
      <w:r w:rsidR="00752D25">
        <w:t xml:space="preserve"> and t</w:t>
      </w:r>
      <w:r w:rsidRPr="008D5565">
        <w:t>hese figures indicate a solid working capital base for a small manufacturing operation</w:t>
      </w:r>
      <w:r w:rsidR="006C2005">
        <w:t xml:space="preserve"> </w:t>
      </w:r>
      <w:r w:rsidR="006C2005" w:rsidRPr="006C2005">
        <w:t>(Oyewole et al., 2024)</w:t>
      </w:r>
      <w:r w:rsidRPr="008D5565">
        <w:t xml:space="preserve">. </w:t>
      </w:r>
      <w:r w:rsidR="00752D25">
        <w:t xml:space="preserve">According to the </w:t>
      </w:r>
      <w:r w:rsidRPr="008D5565">
        <w:t xml:space="preserve">liabilities side, the company has current liabilities totaling $33,000, which include accounts payable, short-term loans, and accrued expenses. </w:t>
      </w:r>
      <w:r w:rsidR="00752D25">
        <w:t>It also includes the l</w:t>
      </w:r>
      <w:r w:rsidRPr="008D5565">
        <w:t>ong-term liabilities stand at $62,000, making the total liabilities $95,000</w:t>
      </w:r>
      <w:r w:rsidR="006C2005">
        <w:t xml:space="preserve"> </w:t>
      </w:r>
      <w:r w:rsidR="006C2005" w:rsidRPr="006C2005">
        <w:t>(</w:t>
      </w:r>
      <w:proofErr w:type="spellStart"/>
      <w:r w:rsidR="006C2005" w:rsidRPr="006C2005">
        <w:t>Revsine</w:t>
      </w:r>
      <w:proofErr w:type="spellEnd"/>
      <w:r w:rsidR="006C2005" w:rsidRPr="006C2005">
        <w:t>, Collins, &amp; Johnson, 2021)</w:t>
      </w:r>
      <w:r w:rsidRPr="008D5565">
        <w:t xml:space="preserve">. </w:t>
      </w:r>
      <w:r w:rsidR="00752D25">
        <w:t>In accordance with the</w:t>
      </w:r>
      <w:r w:rsidRPr="008D5565">
        <w:t xml:space="preserve"> owner’s </w:t>
      </w:r>
      <w:r w:rsidR="00752D25" w:rsidRPr="008D5565">
        <w:t xml:space="preserve">equality, </w:t>
      </w:r>
      <w:r w:rsidRPr="008D5565">
        <w:t>a combination of contributed capital and retained earnings—totals $150,000, signaling strong shareholder investment and reinvested profits.</w:t>
      </w:r>
      <w:r w:rsidR="00752D25">
        <w:t xml:space="preserve"> So, it is important to understand that in order to </w:t>
      </w:r>
      <w:r w:rsidRPr="008D5565">
        <w:t xml:space="preserve">assess the business’s liquidity, one can calculate the current ratio, which is the ratio of current assets to current liabilities. </w:t>
      </w:r>
      <w:r w:rsidR="00752D25">
        <w:t xml:space="preserve">It </w:t>
      </w:r>
      <w:r w:rsidR="00855899">
        <w:t>comprises</w:t>
      </w:r>
      <w:r w:rsidR="00752D25">
        <w:t xml:space="preserve"> </w:t>
      </w:r>
      <w:proofErr w:type="spellStart"/>
      <w:r w:rsidRPr="008D5565">
        <w:t>GlowEarth</w:t>
      </w:r>
      <w:proofErr w:type="spellEnd"/>
      <w:r w:rsidRPr="008D5565">
        <w:t xml:space="preserve"> Candles’ current ratio is $110,000 ÷ $33,000 </w:t>
      </w:r>
      <w:r w:rsidR="00752D25">
        <w:t>=</w:t>
      </w:r>
      <w:r w:rsidRPr="008D5565">
        <w:t xml:space="preserve"> 3.33, which is significantly higher than the commonly accepted benchmark of 2.0</w:t>
      </w:r>
      <w:r w:rsidR="00752D25">
        <w:t xml:space="preserve"> and t</w:t>
      </w:r>
      <w:r w:rsidRPr="008D5565">
        <w:t xml:space="preserve">his indicates that the company has more than enough short-term assets to cover its short-term obligations, reflecting excellent liquidity. </w:t>
      </w:r>
      <w:r w:rsidR="00752D25">
        <w:t xml:space="preserve">According to the </w:t>
      </w:r>
      <w:r w:rsidRPr="008D5565">
        <w:t xml:space="preserve">quick ratio, which excludes inventory from current assets, is ($110,000 - $36,000) ÷ $33,000 </w:t>
      </w:r>
      <w:r w:rsidR="00752D25">
        <w:t xml:space="preserve">= </w:t>
      </w:r>
      <w:r w:rsidRPr="008D5565">
        <w:t>2.24, also well above industry norms, indicating that the business could meet its obligations even if inventory were illiquid.</w:t>
      </w:r>
      <w:r w:rsidR="00752D25">
        <w:t xml:space="preserve"> However, in </w:t>
      </w:r>
      <w:r w:rsidR="00855899">
        <w:t>regard</w:t>
      </w:r>
      <w:r w:rsidR="00752D25">
        <w:t xml:space="preserve"> </w:t>
      </w:r>
      <w:r w:rsidR="00855899">
        <w:t>to</w:t>
      </w:r>
      <w:r w:rsidRPr="008D5565">
        <w:t xml:space="preserve"> solvency, the debt-to-equity ratio is a critical indicator</w:t>
      </w:r>
      <w:r w:rsidR="00855899">
        <w:t xml:space="preserve"> and w</w:t>
      </w:r>
      <w:r w:rsidRPr="008D5565">
        <w:t>ith total liabilities at $95,000 and total equity at $150,000, the ratio is 0.63, meaning the business uses $0.63 of debt for every $1.00 of equity</w:t>
      </w:r>
      <w:r w:rsidR="006C2005">
        <w:t xml:space="preserve"> </w:t>
      </w:r>
      <w:r w:rsidR="006C2005" w:rsidRPr="006C2005">
        <w:t>(</w:t>
      </w:r>
      <w:proofErr w:type="spellStart"/>
      <w:r w:rsidR="006C2005" w:rsidRPr="006C2005">
        <w:t>Revsine</w:t>
      </w:r>
      <w:proofErr w:type="spellEnd"/>
      <w:r w:rsidR="006C2005" w:rsidRPr="006C2005">
        <w:t>, Collins, &amp; Johnson, 2021)</w:t>
      </w:r>
      <w:r w:rsidRPr="008D5565">
        <w:t>. A</w:t>
      </w:r>
      <w:r w:rsidR="00855899">
        <w:t>ccording to the</w:t>
      </w:r>
      <w:r w:rsidRPr="008D5565">
        <w:t xml:space="preserve"> ratio under </w:t>
      </w:r>
      <w:r w:rsidR="006C2005" w:rsidRPr="008D5565">
        <w:t>1.0 it</w:t>
      </w:r>
      <w:r w:rsidRPr="008D5565">
        <w:t xml:space="preserve"> suggests that the company is not overly reliant on debt financing, which enhances its financial stability and </w:t>
      </w:r>
      <w:r w:rsidRPr="008D5565">
        <w:lastRenderedPageBreak/>
        <w:t xml:space="preserve">lowers risk. </w:t>
      </w:r>
      <w:r w:rsidR="00855899">
        <w:t xml:space="preserve">On the basis of that </w:t>
      </w:r>
      <w:r w:rsidRPr="008D5565">
        <w:t xml:space="preserve">the equity ratio, calculated as equity divided by total assets ($150,000 ÷ $245,000 </w:t>
      </w:r>
      <w:r w:rsidR="00855899">
        <w:t>=</w:t>
      </w:r>
      <w:r w:rsidRPr="008D5565">
        <w:t xml:space="preserve"> 0.61), shows that equity finances 61% of the company’s assets—another strong indicator of a well-capitalized and solvent business.</w:t>
      </w:r>
    </w:p>
    <w:p w14:paraId="62BDB891" w14:textId="233E5321" w:rsidR="00D6744D" w:rsidRDefault="00D6744D" w:rsidP="008D5565">
      <w:pPr>
        <w:spacing w:line="480" w:lineRule="auto"/>
      </w:pPr>
      <w:r>
        <w:rPr>
          <w:noProof/>
        </w:rPr>
        <w:drawing>
          <wp:inline distT="0" distB="0" distL="0" distR="0" wp14:anchorId="2907CC9E" wp14:editId="582A0EFE">
            <wp:extent cx="5943600" cy="3105785"/>
            <wp:effectExtent l="0" t="0" r="0" b="0"/>
            <wp:docPr id="665078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789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E2305" w14:textId="20AB9EE3" w:rsidR="00D6744D" w:rsidRDefault="00D6744D" w:rsidP="008D5565">
      <w:pPr>
        <w:spacing w:line="480" w:lineRule="auto"/>
      </w:pPr>
      <w:r>
        <w:rPr>
          <w:noProof/>
        </w:rPr>
        <w:drawing>
          <wp:inline distT="0" distB="0" distL="0" distR="0" wp14:anchorId="72FB3697" wp14:editId="13565AA9">
            <wp:extent cx="5943600" cy="2670810"/>
            <wp:effectExtent l="0" t="0" r="0" b="0"/>
            <wp:docPr id="9435972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97201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58CD" w14:textId="23969C3A" w:rsidR="00D6744D" w:rsidRDefault="00D6744D" w:rsidP="008D5565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63F41F88" wp14:editId="179B1DDB">
            <wp:extent cx="5943600" cy="2577465"/>
            <wp:effectExtent l="0" t="0" r="0" b="0"/>
            <wp:docPr id="19031763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7633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5461D" w14:textId="1F157DD1" w:rsidR="00D6744D" w:rsidRPr="00835D81" w:rsidRDefault="00D6744D" w:rsidP="00D6744D">
      <w:pPr>
        <w:pStyle w:val="Caption"/>
      </w:pPr>
      <w:r>
        <w:t xml:space="preserve">Figure </w:t>
      </w:r>
      <w:r w:rsidR="00B06052">
        <w:fldChar w:fldCharType="begin"/>
      </w:r>
      <w:r w:rsidR="00B06052">
        <w:instrText xml:space="preserve"> SEQ Figure \* ARABIC </w:instrText>
      </w:r>
      <w:r w:rsidR="00B06052">
        <w:fldChar w:fldCharType="separate"/>
      </w:r>
      <w:r w:rsidR="000B61DF">
        <w:rPr>
          <w:noProof/>
        </w:rPr>
        <w:t>2</w:t>
      </w:r>
      <w:r w:rsidR="00B06052">
        <w:rPr>
          <w:noProof/>
        </w:rPr>
        <w:fldChar w:fldCharType="end"/>
      </w:r>
      <w:r>
        <w:t xml:space="preserve">: </w:t>
      </w:r>
      <w:r w:rsidRPr="00D6744D">
        <w:t>Screenshot 2 – Traditional (Single Year)</w:t>
      </w:r>
      <w:r>
        <w:t xml:space="preserve"> Source (ChatGPT)</w:t>
      </w:r>
    </w:p>
    <w:p w14:paraId="257F7A0F" w14:textId="77777777" w:rsidR="0063214E" w:rsidRPr="00835D81" w:rsidRDefault="0063214E" w:rsidP="0063214E">
      <w:pPr>
        <w:spacing w:line="480" w:lineRule="auto"/>
        <w:jc w:val="center"/>
      </w:pPr>
      <w:r w:rsidRPr="00835D81">
        <w:rPr>
          <w:b/>
          <w:bCs/>
        </w:rPr>
        <w:t>Financial Health</w:t>
      </w:r>
    </w:p>
    <w:p w14:paraId="1C00B0F0" w14:textId="54E7E105" w:rsidR="008D5565" w:rsidRPr="008D5565" w:rsidRDefault="008D5565" w:rsidP="002F719A">
      <w:pPr>
        <w:spacing w:line="480" w:lineRule="auto"/>
        <w:jc w:val="both"/>
      </w:pPr>
      <w:r>
        <w:tab/>
      </w:r>
      <w:r w:rsidR="00855899">
        <w:t xml:space="preserve">According to the </w:t>
      </w:r>
      <w:r w:rsidRPr="008D5565">
        <w:t xml:space="preserve">combined analysis of the income statement and balance sheet, </w:t>
      </w:r>
      <w:proofErr w:type="spellStart"/>
      <w:r w:rsidRPr="008D5565">
        <w:t>GlowEarth</w:t>
      </w:r>
      <w:proofErr w:type="spellEnd"/>
      <w:r w:rsidRPr="008D5565">
        <w:t xml:space="preserve"> Candles appears to be in strong financial health. </w:t>
      </w:r>
      <w:r w:rsidR="00855899">
        <w:t xml:space="preserve">As per the </w:t>
      </w:r>
      <w:r w:rsidRPr="008D5565">
        <w:t>business maintains</w:t>
      </w:r>
      <w:r w:rsidR="00855899">
        <w:t xml:space="preserve"> which ultimately</w:t>
      </w:r>
      <w:r w:rsidRPr="008D5565">
        <w:t xml:space="preserve"> consistent profitability, with a net profit margin of </w:t>
      </w:r>
      <w:r w:rsidRPr="008D5565">
        <w:rPr>
          <w:b/>
          <w:bCs/>
        </w:rPr>
        <w:t>12.1%</w:t>
      </w:r>
      <w:r w:rsidRPr="008D5565">
        <w:t xml:space="preserve">, and effective cost controls that produce an operating margin of over </w:t>
      </w:r>
      <w:r w:rsidRPr="008D5565">
        <w:rPr>
          <w:b/>
          <w:bCs/>
        </w:rPr>
        <w:t>25%</w:t>
      </w:r>
      <w:r w:rsidR="00855899">
        <w:t xml:space="preserve"> and t</w:t>
      </w:r>
      <w:r w:rsidRPr="008D5565">
        <w:t xml:space="preserve">hese figures, supported by a stable revenue stream of </w:t>
      </w:r>
      <w:r w:rsidRPr="008D5565">
        <w:rPr>
          <w:b/>
          <w:bCs/>
        </w:rPr>
        <w:t>$430,000</w:t>
      </w:r>
      <w:r w:rsidRPr="008D5565">
        <w:t xml:space="preserve">, suggest that the company has achieved efficient internal operations while maintaining financial discipline. </w:t>
      </w:r>
      <w:r w:rsidR="00855899">
        <w:t>It also tends to include investment</w:t>
      </w:r>
      <w:r w:rsidRPr="008D5565">
        <w:t xml:space="preserve"> in research and development (e.g., $6,500 for green product innovation) </w:t>
      </w:r>
      <w:proofErr w:type="spellStart"/>
      <w:r w:rsidRPr="008D5565">
        <w:t>indi</w:t>
      </w:r>
      <w:r w:rsidR="00855899" w:rsidRPr="008D5565">
        <w:t>which</w:t>
      </w:r>
      <w:proofErr w:type="spellEnd"/>
      <w:r w:rsidR="00855899" w:rsidRPr="008D5565">
        <w:t xml:space="preserve"> </w:t>
      </w:r>
      <w:proofErr w:type="spellStart"/>
      <w:r w:rsidR="00855899" w:rsidRPr="008D5565">
        <w:t>indicates</w:t>
      </w:r>
      <w:r w:rsidRPr="008D5565">
        <w:t>orward</w:t>
      </w:r>
      <w:proofErr w:type="spellEnd"/>
      <w:r w:rsidRPr="008D5565">
        <w:t>-looking approach that supports both innovation and market relevance</w:t>
      </w:r>
      <w:r w:rsidR="006C2005">
        <w:t xml:space="preserve"> </w:t>
      </w:r>
      <w:r w:rsidR="006C2005" w:rsidRPr="006C2005">
        <w:t>(Robert, Jennifer, &amp; Todd, 2023)</w:t>
      </w:r>
      <w:r w:rsidRPr="008D5565">
        <w:t>.</w:t>
      </w:r>
    </w:p>
    <w:p w14:paraId="6190B124" w14:textId="6DF4059E" w:rsidR="008D5565" w:rsidRPr="008D5565" w:rsidRDefault="00855899" w:rsidP="002F719A">
      <w:pPr>
        <w:spacing w:line="480" w:lineRule="auto"/>
        <w:ind w:firstLine="720"/>
        <w:jc w:val="both"/>
      </w:pPr>
      <w:r>
        <w:t xml:space="preserve">From the financial analysis of the </w:t>
      </w:r>
      <w:r w:rsidR="008D5565" w:rsidRPr="008D5565">
        <w:t xml:space="preserve">company’s liquidity is outstanding, as evidenced by its current ratio of </w:t>
      </w:r>
      <w:r w:rsidR="008D5565" w:rsidRPr="008D5565">
        <w:rPr>
          <w:b/>
          <w:bCs/>
        </w:rPr>
        <w:t>3.33</w:t>
      </w:r>
      <w:r w:rsidR="008D5565" w:rsidRPr="008D5565">
        <w:t xml:space="preserve"> and a quick ratio above </w:t>
      </w:r>
      <w:r w:rsidR="008D5565" w:rsidRPr="008D5565">
        <w:rPr>
          <w:b/>
          <w:bCs/>
        </w:rPr>
        <w:t>2.0</w:t>
      </w:r>
      <w:r w:rsidR="008D5565" w:rsidRPr="008D5565">
        <w:t xml:space="preserve">, allowing it to easily meet short-term liabilities even in a downturn. </w:t>
      </w:r>
      <w:r>
        <w:t>Based on capital</w:t>
      </w:r>
      <w:r w:rsidR="008D5565" w:rsidRPr="008D5565">
        <w:t xml:space="preserve"> </w:t>
      </w:r>
      <w:r w:rsidRPr="008D5565">
        <w:t>structure, it</w:t>
      </w:r>
      <w:r w:rsidR="008D5565" w:rsidRPr="008D5565">
        <w:t xml:space="preserve"> is also favorable</w:t>
      </w:r>
      <w:r>
        <w:t xml:space="preserve"> and the </w:t>
      </w:r>
      <w:r w:rsidR="008D5565" w:rsidRPr="008D5565">
        <w:rPr>
          <w:b/>
          <w:bCs/>
        </w:rPr>
        <w:t>debt-to-equity ratio of 0.63</w:t>
      </w:r>
      <w:r w:rsidR="008D5565" w:rsidRPr="008D5565">
        <w:t xml:space="preserve"> indicates a cautious approach to leveraging, and the </w:t>
      </w:r>
      <w:r w:rsidR="008D5565" w:rsidRPr="008D5565">
        <w:rPr>
          <w:b/>
          <w:bCs/>
        </w:rPr>
        <w:t>equity ratio of 0.61</w:t>
      </w:r>
      <w:r w:rsidR="008D5565" w:rsidRPr="008D5565">
        <w:t xml:space="preserve"> shows that most of the assets are financed through equity rather than debt. </w:t>
      </w:r>
      <w:r>
        <w:t>So, on the basis of that t</w:t>
      </w:r>
      <w:r w:rsidR="008D5565" w:rsidRPr="008D5565">
        <w:t xml:space="preserve">his financial </w:t>
      </w:r>
      <w:r w:rsidR="008D5565" w:rsidRPr="008D5565">
        <w:lastRenderedPageBreak/>
        <w:t>position minimizes risk exposure and provides operational flexibility during uncertain economic conditions.</w:t>
      </w:r>
    </w:p>
    <w:p w14:paraId="3F703EB4" w14:textId="34EC36AD" w:rsidR="0063214E" w:rsidRDefault="0063214E" w:rsidP="0063214E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Examine the Triple Bottom Line (TBL) Report</w:t>
      </w:r>
    </w:p>
    <w:p w14:paraId="1933ACC5" w14:textId="36B70B03" w:rsidR="008D5565" w:rsidRPr="00855899" w:rsidRDefault="008D5565" w:rsidP="002F719A">
      <w:pPr>
        <w:spacing w:line="480" w:lineRule="auto"/>
        <w:jc w:val="both"/>
      </w:pPr>
      <w:r>
        <w:rPr>
          <w:b/>
          <w:bCs/>
        </w:rPr>
        <w:tab/>
      </w:r>
      <w:r w:rsidR="00855899">
        <w:t xml:space="preserve">This part of the report includes the analysis of the Triple Bottom Line report which consists of the following sections. </w:t>
      </w:r>
    </w:p>
    <w:p w14:paraId="52050FC0" w14:textId="77777777" w:rsidR="0063214E" w:rsidRDefault="0063214E" w:rsidP="0063214E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Social Impact (People)</w:t>
      </w:r>
    </w:p>
    <w:p w14:paraId="030E51F5" w14:textId="38A60209" w:rsidR="008D5565" w:rsidRPr="008D5565" w:rsidRDefault="008D5565" w:rsidP="002F719A">
      <w:pPr>
        <w:spacing w:line="480" w:lineRule="auto"/>
        <w:jc w:val="both"/>
      </w:pPr>
      <w:r>
        <w:rPr>
          <w:b/>
          <w:bCs/>
        </w:rPr>
        <w:tab/>
      </w:r>
      <w:r w:rsidRPr="008D5565">
        <w:t>The</w:t>
      </w:r>
      <w:r w:rsidR="00855899">
        <w:t xml:space="preserve"> section tends to represent the social impact regarding the</w:t>
      </w:r>
      <w:r w:rsidRPr="008D5565">
        <w:t xml:space="preserve"> </w:t>
      </w:r>
      <w:r w:rsidR="00855899">
        <w:t>p</w:t>
      </w:r>
      <w:r w:rsidRPr="008D5565">
        <w:t xml:space="preserve">eople </w:t>
      </w:r>
      <w:r w:rsidR="00855899">
        <w:t xml:space="preserve">in which </w:t>
      </w:r>
      <w:r w:rsidR="00855899" w:rsidRPr="008D5565">
        <w:t>the component</w:t>
      </w:r>
      <w:r w:rsidRPr="008D5565">
        <w:t xml:space="preserve"> of </w:t>
      </w:r>
      <w:proofErr w:type="spellStart"/>
      <w:r w:rsidRPr="008D5565">
        <w:t>GlowEarth</w:t>
      </w:r>
      <w:proofErr w:type="spellEnd"/>
      <w:r w:rsidRPr="008D5565">
        <w:t xml:space="preserve"> Candles’ Triple Bottom Line (TBL) report reflects the company’s commitment to employee well-being, community engagement, and customer safety. </w:t>
      </w:r>
      <w:r w:rsidR="00855899">
        <w:t xml:space="preserve">Based on the </w:t>
      </w:r>
      <w:r w:rsidRPr="008D5565">
        <w:t xml:space="preserve">TBL data, </w:t>
      </w:r>
      <w:proofErr w:type="spellStart"/>
      <w:r w:rsidRPr="008D5565">
        <w:t>GlowEarth</w:t>
      </w:r>
      <w:proofErr w:type="spellEnd"/>
      <w:r w:rsidRPr="008D5565">
        <w:t xml:space="preserve"> currently employs 18 full-time employees, each earning an average annual salary of $42,000, with 100% health insurance coverage provided. </w:t>
      </w:r>
      <w:r w:rsidR="00855899">
        <w:t xml:space="preserve">Nevertheless, the organization also </w:t>
      </w:r>
      <w:r w:rsidR="0024647E">
        <w:t>illustrates</w:t>
      </w:r>
      <w:r w:rsidR="00855899">
        <w:t xml:space="preserve"> that it</w:t>
      </w:r>
      <w:r w:rsidRPr="008D5565">
        <w:t xml:space="preserve"> invested $8,500 annually in employee training and professional development programs, a figure that has steadily increased over the past five years</w:t>
      </w:r>
      <w:r w:rsidR="00855899">
        <w:t xml:space="preserve"> and t</w:t>
      </w:r>
      <w:r w:rsidRPr="008D5565">
        <w:t>his level of investment demonstrates a strategic emphasis on talent retention, skill-building, and workplace satisfaction. In fact, internal employee surveys reflect a satisfaction rating of 4.6 out of 5, indicating a positive organizational culture that fosters long-term commitment and productivity</w:t>
      </w:r>
      <w:r w:rsidR="006C2005">
        <w:t xml:space="preserve"> </w:t>
      </w:r>
      <w:r w:rsidR="006C2005" w:rsidRPr="006C2005">
        <w:t>(Robert, Jennifer, &amp; Todd, 2023)</w:t>
      </w:r>
      <w:r w:rsidRPr="008D5565">
        <w:t>.</w:t>
      </w:r>
    </w:p>
    <w:p w14:paraId="6022FDBA" w14:textId="66AF86DA" w:rsidR="008D5565" w:rsidRDefault="00855899" w:rsidP="002F719A">
      <w:pPr>
        <w:spacing w:line="480" w:lineRule="auto"/>
        <w:ind w:firstLine="720"/>
        <w:jc w:val="both"/>
      </w:pPr>
      <w:r>
        <w:t>As per the analysis, b</w:t>
      </w:r>
      <w:r w:rsidR="008D5565" w:rsidRPr="008D5565">
        <w:t xml:space="preserve">eyond internal operations, </w:t>
      </w:r>
      <w:proofErr w:type="spellStart"/>
      <w:r w:rsidR="008D5565" w:rsidRPr="008D5565">
        <w:t>GlowEarth</w:t>
      </w:r>
      <w:proofErr w:type="spellEnd"/>
      <w:r w:rsidR="008D5565" w:rsidRPr="008D5565">
        <w:t xml:space="preserve"> actively supports its local community. </w:t>
      </w:r>
      <w:r>
        <w:t xml:space="preserve">According to the </w:t>
      </w:r>
      <w:r w:rsidR="008D5565" w:rsidRPr="008D5565">
        <w:t>company contributed 320 volunteer hours and $3,200 in donations to environmental organizations in the past fiscal year</w:t>
      </w:r>
      <w:r>
        <w:t xml:space="preserve"> and t</w:t>
      </w:r>
      <w:r w:rsidR="008D5565" w:rsidRPr="008D5565">
        <w:t>hese initiatives not only reinforce its corporate social responsibility (CSR) profile but also enhance its brand value within the eco-conscious consumer segment</w:t>
      </w:r>
      <w:r>
        <w:t xml:space="preserve"> such as </w:t>
      </w:r>
      <w:r w:rsidR="008D5565" w:rsidRPr="008D5565">
        <w:t xml:space="preserve">community engagement has been shown to positively influence consumer loyalty and attract ethically driven clientele, particularly in a marketplace </w:t>
      </w:r>
      <w:r w:rsidR="008D5565" w:rsidRPr="008D5565">
        <w:lastRenderedPageBreak/>
        <w:t xml:space="preserve">where values increasingly influence purchasing behavior (Ray et al., 2021). </w:t>
      </w:r>
      <w:r>
        <w:t xml:space="preserve">It also tends to illustrate that the </w:t>
      </w:r>
      <w:r w:rsidR="008D5565" w:rsidRPr="008D5565">
        <w:t>zero customer safety incidents, a metric that speaks to the integrity of its product quality control processes and compliance with safety standards</w:t>
      </w:r>
      <w:r>
        <w:t xml:space="preserve"> and t</w:t>
      </w:r>
      <w:r w:rsidR="008D5565" w:rsidRPr="008D5565">
        <w:t xml:space="preserve">hese social investments are not merely symbolic—they contribute directly to the company’s long-term sustainability. </w:t>
      </w:r>
      <w:r>
        <w:t>According to the r</w:t>
      </w:r>
      <w:r w:rsidR="008D5565" w:rsidRPr="008D5565">
        <w:t xml:space="preserve">esearch </w:t>
      </w:r>
      <w:r>
        <w:t xml:space="preserve">which </w:t>
      </w:r>
      <w:r w:rsidR="008D5565" w:rsidRPr="008D5565">
        <w:t xml:space="preserve">has consistently shown that businesses that invest in employee satisfaction, health, and growth experience lower turnover, higher engagement, and improved productivity. </w:t>
      </w:r>
      <w:r>
        <w:t>Nevertheless, as for as</w:t>
      </w:r>
      <w:r w:rsidR="008D5565" w:rsidRPr="008D5565">
        <w:t xml:space="preserve"> </w:t>
      </w:r>
      <w:proofErr w:type="spellStart"/>
      <w:r w:rsidR="008D5565" w:rsidRPr="008D5565">
        <w:t>GlowEarth</w:t>
      </w:r>
      <w:proofErr w:type="spellEnd"/>
      <w:r w:rsidR="008D5565" w:rsidRPr="008D5565">
        <w:t xml:space="preserve">, the decision to cover 100% of employee health insurance costs and fund development programs strengthens its employer brand and attracts talent that aligns with its eco-centric mission. </w:t>
      </w:r>
      <w:r>
        <w:t xml:space="preserve">So, on the basis of that </w:t>
      </w:r>
      <w:r w:rsidR="008D5565" w:rsidRPr="008D5565">
        <w:t>active involvement in community and health-based causes reinforces the company’s value system and positions it as a responsible business, which can be a competitive advantage in securing partnerships, customer trust, and investor interest.</w:t>
      </w:r>
    </w:p>
    <w:p w14:paraId="43F0FED6" w14:textId="601EF40F" w:rsidR="000B61DF" w:rsidRDefault="000B61DF" w:rsidP="00855899">
      <w:pPr>
        <w:spacing w:line="480" w:lineRule="auto"/>
        <w:ind w:firstLine="720"/>
      </w:pPr>
      <w:r>
        <w:rPr>
          <w:noProof/>
        </w:rPr>
        <w:drawing>
          <wp:inline distT="0" distB="0" distL="0" distR="0" wp14:anchorId="1E85C5D5" wp14:editId="41DE7EF1">
            <wp:extent cx="5943600" cy="2204720"/>
            <wp:effectExtent l="0" t="0" r="0" b="5080"/>
            <wp:docPr id="6610499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49927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3E800" w14:textId="411D4DF3" w:rsidR="000B61DF" w:rsidRDefault="000B61DF" w:rsidP="00855899">
      <w:pPr>
        <w:spacing w:line="480" w:lineRule="auto"/>
        <w:ind w:firstLine="720"/>
      </w:pPr>
      <w:r>
        <w:rPr>
          <w:noProof/>
        </w:rPr>
        <w:lastRenderedPageBreak/>
        <w:drawing>
          <wp:inline distT="0" distB="0" distL="0" distR="0" wp14:anchorId="1C443600" wp14:editId="1DC42BDB">
            <wp:extent cx="5943600" cy="2443480"/>
            <wp:effectExtent l="0" t="0" r="0" b="0"/>
            <wp:docPr id="15437707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770789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5D4DD" w14:textId="385C0EEB" w:rsidR="000B61DF" w:rsidRDefault="000B61DF" w:rsidP="00855899">
      <w:pPr>
        <w:spacing w:line="480" w:lineRule="auto"/>
        <w:ind w:firstLine="720"/>
      </w:pPr>
      <w:r>
        <w:rPr>
          <w:noProof/>
        </w:rPr>
        <w:drawing>
          <wp:inline distT="0" distB="0" distL="0" distR="0" wp14:anchorId="3EB52D48" wp14:editId="10FBDE9F">
            <wp:extent cx="5943600" cy="2585720"/>
            <wp:effectExtent l="0" t="0" r="0" b="5080"/>
            <wp:docPr id="271634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63406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60071" w14:textId="59E64503" w:rsidR="000B61DF" w:rsidRPr="00835D81" w:rsidRDefault="000B61DF" w:rsidP="000B61DF">
      <w:pPr>
        <w:pStyle w:val="Caption"/>
      </w:pPr>
      <w:r>
        <w:t xml:space="preserve">Figure </w:t>
      </w:r>
      <w:r w:rsidR="00B06052">
        <w:fldChar w:fldCharType="begin"/>
      </w:r>
      <w:r w:rsidR="00B06052">
        <w:instrText xml:space="preserve"> SEQ Figure \* ARABIC </w:instrText>
      </w:r>
      <w:r w:rsidR="00B06052">
        <w:fldChar w:fldCharType="separate"/>
      </w:r>
      <w:r>
        <w:rPr>
          <w:noProof/>
        </w:rPr>
        <w:t>3</w:t>
      </w:r>
      <w:r w:rsidR="00B06052">
        <w:rPr>
          <w:noProof/>
        </w:rPr>
        <w:fldChar w:fldCharType="end"/>
      </w:r>
      <w:r>
        <w:t xml:space="preserve">: </w:t>
      </w:r>
      <w:r w:rsidRPr="000B61DF">
        <w:t>Screenshot 3 – TBL (5 Years)</w:t>
      </w:r>
      <w:r>
        <w:t xml:space="preserve"> Source (ChatGPT)</w:t>
      </w:r>
    </w:p>
    <w:p w14:paraId="0AE346D4" w14:textId="77777777" w:rsidR="0063214E" w:rsidRDefault="0063214E" w:rsidP="0063214E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Environmental Impact (Planet)</w:t>
      </w:r>
    </w:p>
    <w:p w14:paraId="7D5B8BD4" w14:textId="03D01A99" w:rsidR="008D5565" w:rsidRPr="008D5565" w:rsidRDefault="008D5565" w:rsidP="002F719A">
      <w:pPr>
        <w:spacing w:line="480" w:lineRule="auto"/>
        <w:jc w:val="both"/>
      </w:pPr>
      <w:r>
        <w:rPr>
          <w:b/>
          <w:bCs/>
        </w:rPr>
        <w:tab/>
      </w:r>
      <w:r w:rsidR="000004B1">
        <w:t xml:space="preserve">In accordance with the </w:t>
      </w:r>
      <w:proofErr w:type="spellStart"/>
      <w:r w:rsidRPr="008D5565">
        <w:t>GlowEarth</w:t>
      </w:r>
      <w:proofErr w:type="spellEnd"/>
      <w:r w:rsidRPr="008D5565">
        <w:t xml:space="preserve"> </w:t>
      </w:r>
      <w:r w:rsidR="0024647E" w:rsidRPr="008D5565">
        <w:t>Candles,</w:t>
      </w:r>
      <w:r w:rsidRPr="008D5565">
        <w:t xml:space="preserve"> </w:t>
      </w:r>
      <w:r w:rsidR="000004B1">
        <w:t xml:space="preserve">which tends to </w:t>
      </w:r>
      <w:r w:rsidR="0024647E" w:rsidRPr="008D5565">
        <w:t>demonstrate</w:t>
      </w:r>
      <w:r w:rsidRPr="008D5565">
        <w:t xml:space="preserve"> a strong commitment to environmental stewardship, with focused efforts in energy efficiency, waste reduction, and water conservation. </w:t>
      </w:r>
      <w:r w:rsidR="000004B1">
        <w:t xml:space="preserve">Based on the </w:t>
      </w:r>
      <w:r w:rsidRPr="008D5565">
        <w:t>TBL data, the company currently sources 85% of its energy from renewable sources, a significant improvement from 40% five years ago</w:t>
      </w:r>
      <w:r w:rsidR="000004B1">
        <w:t xml:space="preserve"> and t</w:t>
      </w:r>
      <w:r w:rsidRPr="008D5565">
        <w:t>his progressive shift toward clean energy has contributed to a reduction in CO₂ emissions by 18% over the same period. I</w:t>
      </w:r>
      <w:r w:rsidR="000004B1">
        <w:t xml:space="preserve">t also tends to analyse that the </w:t>
      </w:r>
      <w:r w:rsidRPr="008D5565">
        <w:t>manufacturing, which is typically resource-</w:t>
      </w:r>
      <w:r w:rsidRPr="008D5565">
        <w:lastRenderedPageBreak/>
        <w:t>intensive, such a transition not only aligns with global environmental goals but also leads to long-term cost optimization by lowering dependency on volatile fossil fuel markets.</w:t>
      </w:r>
    </w:p>
    <w:p w14:paraId="3C104485" w14:textId="02B8EC15" w:rsidR="008D5565" w:rsidRPr="008D5565" w:rsidRDefault="000004B1" w:rsidP="002F719A">
      <w:pPr>
        <w:spacing w:line="480" w:lineRule="auto"/>
        <w:ind w:firstLine="720"/>
        <w:jc w:val="both"/>
      </w:pPr>
      <w:r>
        <w:t xml:space="preserve">It is evident from the studies that the </w:t>
      </w:r>
      <w:r w:rsidR="008D5565" w:rsidRPr="008D5565">
        <w:t>company has also achieved notable improvements in waste management</w:t>
      </w:r>
      <w:r>
        <w:t xml:space="preserve"> and t</w:t>
      </w:r>
      <w:r w:rsidR="008D5565" w:rsidRPr="008D5565">
        <w:t>hrough two key initiatives—recyclable packaging and wax reuse—</w:t>
      </w:r>
      <w:proofErr w:type="spellStart"/>
      <w:r w:rsidR="008D5565" w:rsidRPr="008D5565">
        <w:t>GlowEarth</w:t>
      </w:r>
      <w:proofErr w:type="spellEnd"/>
      <w:r w:rsidR="008D5565" w:rsidRPr="008D5565">
        <w:t xml:space="preserve"> has managed to divert 62% of waste from landfills. </w:t>
      </w:r>
      <w:r>
        <w:t>Based on t</w:t>
      </w:r>
      <w:r w:rsidR="008D5565" w:rsidRPr="008D5565">
        <w:t xml:space="preserve">heir </w:t>
      </w:r>
      <w:r w:rsidRPr="008D5565">
        <w:t>packaging,</w:t>
      </w:r>
      <w:r w:rsidR="008D5565" w:rsidRPr="008D5565">
        <w:t xml:space="preserve"> </w:t>
      </w:r>
      <w:r>
        <w:t xml:space="preserve">which tends to be </w:t>
      </w:r>
      <w:r w:rsidR="008D5565" w:rsidRPr="008D5565">
        <w:t xml:space="preserve">now </w:t>
      </w:r>
      <w:r w:rsidRPr="008D5565">
        <w:t>incorporated</w:t>
      </w:r>
      <w:r w:rsidR="008D5565" w:rsidRPr="008D5565">
        <w:t xml:space="preserve"> 92% recycled materials, which not only lowers raw material costs but enhances their sustainability marketing value. </w:t>
      </w:r>
      <w:r>
        <w:t>In the regard of w</w:t>
      </w:r>
      <w:r w:rsidR="008D5565" w:rsidRPr="008D5565">
        <w:t xml:space="preserve">aste reduction practices </w:t>
      </w:r>
      <w:r>
        <w:t xml:space="preserve">which tends to </w:t>
      </w:r>
      <w:r w:rsidR="008D5565" w:rsidRPr="008D5565">
        <w:t>improve not only the bottom line but also regulatory compliance, especially as environmental regulations tighten across U.S. states</w:t>
      </w:r>
      <w:r>
        <w:t xml:space="preserve"> and t</w:t>
      </w:r>
      <w:r w:rsidR="008D5565" w:rsidRPr="008D5565">
        <w:t xml:space="preserve">hese initiatives support </w:t>
      </w:r>
      <w:proofErr w:type="spellStart"/>
      <w:r w:rsidR="008D5565" w:rsidRPr="008D5565">
        <w:t>GlowEarth’s</w:t>
      </w:r>
      <w:proofErr w:type="spellEnd"/>
      <w:r w:rsidR="008D5565" w:rsidRPr="008D5565">
        <w:t xml:space="preserve"> brand narrative of being a green business and foster loyalty among eco-conscious consumers.</w:t>
      </w:r>
    </w:p>
    <w:p w14:paraId="57216992" w14:textId="777090D5" w:rsidR="008D5565" w:rsidRPr="008D5565" w:rsidRDefault="000004B1" w:rsidP="002F719A">
      <w:pPr>
        <w:spacing w:line="480" w:lineRule="auto"/>
        <w:ind w:firstLine="720"/>
        <w:jc w:val="both"/>
      </w:pPr>
      <w:r>
        <w:t>Based on water</w:t>
      </w:r>
      <w:r w:rsidR="008D5565" w:rsidRPr="008D5565">
        <w:t xml:space="preserve"> conservation represents another core area of environmental focus</w:t>
      </w:r>
      <w:r>
        <w:t xml:space="preserve"> and t</w:t>
      </w:r>
      <w:r w:rsidR="008D5565" w:rsidRPr="008D5565">
        <w:t xml:space="preserve">he company has reduced its annual water usage from 6,500 gallons in 2020 to just 3,500 gallons in 2024, reflecting a 46% reduction. </w:t>
      </w:r>
      <w:r>
        <w:t>However, as for small manufacturers</w:t>
      </w:r>
      <w:r w:rsidR="008D5565" w:rsidRPr="008D5565">
        <w:t>, water efficiency lowers utility bills and reduces the risk of operational disruptions during drought-related restrictions</w:t>
      </w:r>
      <w:r>
        <w:t xml:space="preserve"> and w</w:t>
      </w:r>
      <w:r w:rsidR="008D5565" w:rsidRPr="008D5565">
        <w:t>hile water savings alone may not result in significant immediate financial gain, their cumulative effect over time supports long-term operational efficiency and environmental credibility.</w:t>
      </w:r>
    </w:p>
    <w:p w14:paraId="6A362489" w14:textId="6C250113" w:rsidR="008D5565" w:rsidRDefault="008D5565" w:rsidP="002F719A">
      <w:pPr>
        <w:spacing w:line="480" w:lineRule="auto"/>
        <w:ind w:firstLine="720"/>
        <w:jc w:val="both"/>
      </w:pPr>
      <w:r w:rsidRPr="008D5565">
        <w:t xml:space="preserve">In </w:t>
      </w:r>
      <w:r w:rsidR="000004B1">
        <w:t xml:space="preserve">accordance with that the </w:t>
      </w:r>
      <w:r w:rsidRPr="008D5565">
        <w:t xml:space="preserve">total, </w:t>
      </w:r>
      <w:proofErr w:type="spellStart"/>
      <w:r w:rsidRPr="008D5565">
        <w:t>GlowEarth</w:t>
      </w:r>
      <w:proofErr w:type="spellEnd"/>
      <w:r w:rsidRPr="008D5565">
        <w:t xml:space="preserve"> allocated $4,800 in the last fiscal year to its sustainability budget, a modest yet strategic investment that yielded measurable benefits</w:t>
      </w:r>
      <w:r w:rsidR="000004B1">
        <w:t xml:space="preserve"> and t</w:t>
      </w:r>
      <w:r w:rsidRPr="008D5565">
        <w:t xml:space="preserve">hese include $3,700 in sustainability-linked cost savings, particularly in energy and packaging expenses. </w:t>
      </w:r>
      <w:r w:rsidR="000004B1">
        <w:t xml:space="preserve">Nevertheless, as per </w:t>
      </w:r>
      <w:r w:rsidRPr="008D5565">
        <w:t xml:space="preserve">highly competitive market, these efforts contribute to cost stability, risk reduction, and reputation enhancement. </w:t>
      </w:r>
    </w:p>
    <w:p w14:paraId="62A7174F" w14:textId="3F3610A2" w:rsidR="002F719A" w:rsidRDefault="002F719A" w:rsidP="002F719A">
      <w:pPr>
        <w:spacing w:line="480" w:lineRule="auto"/>
        <w:ind w:firstLine="720"/>
        <w:jc w:val="both"/>
      </w:pPr>
    </w:p>
    <w:p w14:paraId="1828F603" w14:textId="77777777" w:rsidR="002F719A" w:rsidRPr="00835D81" w:rsidRDefault="002F719A" w:rsidP="002F719A">
      <w:pPr>
        <w:spacing w:line="480" w:lineRule="auto"/>
        <w:ind w:firstLine="720"/>
        <w:jc w:val="both"/>
      </w:pPr>
    </w:p>
    <w:p w14:paraId="7F23827D" w14:textId="77777777" w:rsidR="0063214E" w:rsidRDefault="0063214E" w:rsidP="0063214E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lastRenderedPageBreak/>
        <w:t>Financial Impact (Profit)</w:t>
      </w:r>
    </w:p>
    <w:p w14:paraId="339D9B37" w14:textId="626D9486" w:rsidR="008D5565" w:rsidRPr="0025049A" w:rsidRDefault="008D5565" w:rsidP="002F719A">
      <w:pPr>
        <w:spacing w:line="480" w:lineRule="auto"/>
        <w:jc w:val="both"/>
      </w:pPr>
      <w:r>
        <w:rPr>
          <w:b/>
          <w:bCs/>
        </w:rPr>
        <w:tab/>
      </w:r>
      <w:r w:rsidR="000004B1">
        <w:t xml:space="preserve">It tends to analyse that the </w:t>
      </w:r>
      <w:r w:rsidRPr="0025049A">
        <w:t xml:space="preserve">Triple Bottom Line (TBL) and traditional financial reports for </w:t>
      </w:r>
      <w:proofErr w:type="spellStart"/>
      <w:r w:rsidRPr="0025049A">
        <w:t>GlowEarth</w:t>
      </w:r>
      <w:proofErr w:type="spellEnd"/>
      <w:r w:rsidRPr="0025049A">
        <w:t xml:space="preserve"> Candles offer a valuable comparative lens for evaluating the company’s profit in light of its sustainability efforts. In </w:t>
      </w:r>
      <w:r w:rsidR="000004B1">
        <w:t xml:space="preserve">accordance with </w:t>
      </w:r>
      <w:r w:rsidRPr="0025049A">
        <w:t>the traditional income statement, the company reported $430,000 in revenue, $180,000 in COGS, and $140,000 in operating expenses, resulting in a net profit of $52,000</w:t>
      </w:r>
      <w:r w:rsidR="000004B1">
        <w:t xml:space="preserve"> and t</w:t>
      </w:r>
      <w:r w:rsidRPr="0025049A">
        <w:t>hese numbers reflect a financially stable small manufacturer with strong operating margins and consistent revenue growth over the past five years.</w:t>
      </w:r>
    </w:p>
    <w:p w14:paraId="405849BF" w14:textId="7628825A" w:rsidR="008D5565" w:rsidRDefault="000004B1" w:rsidP="002F719A">
      <w:pPr>
        <w:spacing w:line="480" w:lineRule="auto"/>
        <w:ind w:firstLine="720"/>
        <w:jc w:val="both"/>
      </w:pPr>
      <w:r>
        <w:t xml:space="preserve">It is evident from </w:t>
      </w:r>
      <w:r w:rsidR="00C65516">
        <w:t>the TBL</w:t>
      </w:r>
      <w:r w:rsidR="008D5565" w:rsidRPr="008D5565">
        <w:t xml:space="preserve"> report </w:t>
      </w:r>
      <w:r>
        <w:t xml:space="preserve">which </w:t>
      </w:r>
      <w:r w:rsidR="008D5565" w:rsidRPr="008D5565">
        <w:t xml:space="preserve">adds further context by incorporating costs and savings tied specifically to the company’s social and environmental initiatives. </w:t>
      </w:r>
      <w:r>
        <w:t xml:space="preserve">According to that </w:t>
      </w:r>
      <w:r w:rsidR="008D5565" w:rsidRPr="008D5565">
        <w:t xml:space="preserve">report, we learn that </w:t>
      </w:r>
      <w:proofErr w:type="spellStart"/>
      <w:r w:rsidR="008D5565" w:rsidRPr="008D5565">
        <w:t>GlowEarth</w:t>
      </w:r>
      <w:proofErr w:type="spellEnd"/>
      <w:r w:rsidR="008D5565" w:rsidRPr="008D5565">
        <w:t xml:space="preserve"> invested $6,500 in R&amp;D focused on green product development and $4,800 in sustainability efforts related to energy efficiency and waste reduction. </w:t>
      </w:r>
      <w:r>
        <w:t>On the basis of that w</w:t>
      </w:r>
      <w:r w:rsidR="008D5565" w:rsidRPr="008D5565">
        <w:t xml:space="preserve">hile these initiatives represent additional operating costs, the company also achieved $3,700 in annual cost savings through reduced energy usage and packaging expenses. </w:t>
      </w:r>
      <w:r>
        <w:t xml:space="preserve">Based on that </w:t>
      </w:r>
      <w:r w:rsidR="008D5565" w:rsidRPr="008D5565">
        <w:t>the net environmental investment is approximately $7,600, which is relatively modest considering the long-term returns in brand equity, regulatory advantages, and operational efficiency.</w:t>
      </w:r>
    </w:p>
    <w:p w14:paraId="64B4CB52" w14:textId="6265E127" w:rsidR="000B61DF" w:rsidRDefault="000B61DF" w:rsidP="0025049A">
      <w:pPr>
        <w:spacing w:line="480" w:lineRule="auto"/>
        <w:ind w:firstLine="720"/>
      </w:pPr>
      <w:r>
        <w:rPr>
          <w:noProof/>
        </w:rPr>
        <w:drawing>
          <wp:inline distT="0" distB="0" distL="0" distR="0" wp14:anchorId="797B8F13" wp14:editId="05E0D80A">
            <wp:extent cx="5943600" cy="2063750"/>
            <wp:effectExtent l="0" t="0" r="0" b="0"/>
            <wp:docPr id="4996130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613017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06D60" w14:textId="3DA2683F" w:rsidR="000B61DF" w:rsidRDefault="000B61DF" w:rsidP="0025049A">
      <w:pPr>
        <w:spacing w:line="480" w:lineRule="auto"/>
        <w:ind w:firstLine="720"/>
      </w:pPr>
      <w:r>
        <w:rPr>
          <w:noProof/>
        </w:rPr>
        <w:lastRenderedPageBreak/>
        <w:drawing>
          <wp:inline distT="0" distB="0" distL="0" distR="0" wp14:anchorId="1A8619EC" wp14:editId="79CF1592">
            <wp:extent cx="5943600" cy="1932305"/>
            <wp:effectExtent l="0" t="0" r="0" b="0"/>
            <wp:docPr id="316756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5658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E751A" w14:textId="4F405BB7" w:rsidR="000B61DF" w:rsidRPr="008D5565" w:rsidRDefault="000B61DF" w:rsidP="000B61DF">
      <w:pPr>
        <w:pStyle w:val="Caption"/>
      </w:pPr>
      <w:r>
        <w:t xml:space="preserve">Figure </w:t>
      </w:r>
      <w:r w:rsidR="00B06052">
        <w:fldChar w:fldCharType="begin"/>
      </w:r>
      <w:r w:rsidR="00B06052">
        <w:instrText xml:space="preserve"> SEQ Figure \* ARABIC </w:instrText>
      </w:r>
      <w:r w:rsidR="00B06052">
        <w:fldChar w:fldCharType="separate"/>
      </w:r>
      <w:r>
        <w:rPr>
          <w:noProof/>
        </w:rPr>
        <w:t>4</w:t>
      </w:r>
      <w:r w:rsidR="00B06052">
        <w:rPr>
          <w:noProof/>
        </w:rPr>
        <w:fldChar w:fldCharType="end"/>
      </w:r>
      <w:r>
        <w:t xml:space="preserve">: </w:t>
      </w:r>
      <w:r w:rsidRPr="000B61DF">
        <w:t>Screenshot 4 – Traditional (5 Years)</w:t>
      </w:r>
      <w:r>
        <w:t xml:space="preserve"> (Source ChatGPT)</w:t>
      </w:r>
    </w:p>
    <w:p w14:paraId="7F79F8D8" w14:textId="7A4FC14F" w:rsidR="000455F6" w:rsidRPr="007E1727" w:rsidRDefault="000455F6" w:rsidP="00964FF8">
      <w:pPr>
        <w:spacing w:line="480" w:lineRule="auto"/>
        <w:jc w:val="center"/>
        <w:rPr>
          <w:b/>
          <w:color w:val="000000"/>
        </w:rPr>
      </w:pPr>
      <w:r w:rsidRPr="007E1727">
        <w:rPr>
          <w:b/>
          <w:color w:val="000000"/>
        </w:rPr>
        <w:t>Conclusion</w:t>
      </w:r>
    </w:p>
    <w:p w14:paraId="6A475C16" w14:textId="7D2CFF09" w:rsidR="0025049A" w:rsidRPr="0025049A" w:rsidRDefault="00F96D0F" w:rsidP="004C586B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</w:pPr>
      <w:r w:rsidRPr="007E1727">
        <w:t xml:space="preserve"> </w:t>
      </w:r>
      <w:r w:rsidR="000004B1">
        <w:t xml:space="preserve">It is concluded from the above analysis that the </w:t>
      </w:r>
      <w:proofErr w:type="spellStart"/>
      <w:r w:rsidR="0025049A" w:rsidRPr="0025049A">
        <w:t>GlowEarth</w:t>
      </w:r>
      <w:proofErr w:type="spellEnd"/>
      <w:r w:rsidR="0025049A" w:rsidRPr="0025049A">
        <w:t xml:space="preserve"> Candles demonstrates that profitability and sustainability can successfully coexist within a small business model</w:t>
      </w:r>
      <w:r w:rsidR="000004B1">
        <w:t xml:space="preserve"> and t</w:t>
      </w:r>
      <w:r w:rsidR="0025049A" w:rsidRPr="0025049A">
        <w:t>hrough disciplined financial management and strategic investments in people and the planet, the company has positioned itself for long-term success while upholding strong ethical and operational standards.</w:t>
      </w:r>
    </w:p>
    <w:p w14:paraId="054C6B70" w14:textId="4EA4AEE7" w:rsidR="000455F6" w:rsidRPr="007E1727" w:rsidRDefault="000455F6" w:rsidP="004C586B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firstLine="360"/>
        <w:jc w:val="both"/>
        <w:textAlignment w:val="baseline"/>
        <w:rPr>
          <w:color w:val="000000"/>
        </w:rPr>
      </w:pPr>
    </w:p>
    <w:bookmarkEnd w:id="0"/>
    <w:p w14:paraId="5FC249A1" w14:textId="77777777" w:rsidR="000455F6" w:rsidRPr="007E1727" w:rsidRDefault="000455F6" w:rsidP="00B51E3F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7E1727">
        <w:rPr>
          <w:color w:val="000000"/>
        </w:rPr>
        <w:br w:type="page"/>
      </w:r>
      <w:r w:rsidRPr="007E1727">
        <w:rPr>
          <w:b/>
          <w:color w:val="000000"/>
        </w:rPr>
        <w:lastRenderedPageBreak/>
        <w:t>References</w:t>
      </w:r>
    </w:p>
    <w:p w14:paraId="5E76FDF2" w14:textId="77777777" w:rsidR="0024647E" w:rsidRPr="0024647E" w:rsidRDefault="0024647E" w:rsidP="00B51E3F">
      <w:pPr>
        <w:spacing w:line="480" w:lineRule="auto"/>
        <w:ind w:left="720" w:hanging="720"/>
        <w:jc w:val="both"/>
        <w:rPr>
          <w:b/>
          <w:bCs/>
          <w:color w:val="000000"/>
        </w:rPr>
      </w:pPr>
      <w:r w:rsidRPr="0024647E">
        <w:rPr>
          <w:b/>
          <w:bCs/>
          <w:color w:val="000000"/>
        </w:rPr>
        <w:t xml:space="preserve">Battiston, S., </w:t>
      </w:r>
      <w:proofErr w:type="spellStart"/>
      <w:r w:rsidRPr="0024647E">
        <w:rPr>
          <w:b/>
          <w:bCs/>
          <w:color w:val="000000"/>
        </w:rPr>
        <w:t>Dafermos</w:t>
      </w:r>
      <w:proofErr w:type="spellEnd"/>
      <w:r w:rsidRPr="0024647E">
        <w:rPr>
          <w:b/>
          <w:bCs/>
          <w:color w:val="000000"/>
        </w:rPr>
        <w:t xml:space="preserve">, Y., &amp; </w:t>
      </w:r>
      <w:proofErr w:type="spellStart"/>
      <w:r w:rsidRPr="0024647E">
        <w:rPr>
          <w:b/>
          <w:bCs/>
          <w:color w:val="000000"/>
        </w:rPr>
        <w:t>Monasterolo</w:t>
      </w:r>
      <w:proofErr w:type="spellEnd"/>
      <w:r w:rsidRPr="0024647E">
        <w:rPr>
          <w:b/>
          <w:bCs/>
          <w:color w:val="000000"/>
        </w:rPr>
        <w:t>, I. (2021). Climate risks and financial stability. </w:t>
      </w:r>
      <w:r w:rsidRPr="0024647E">
        <w:rPr>
          <w:b/>
          <w:bCs/>
          <w:i/>
          <w:iCs/>
          <w:color w:val="000000"/>
        </w:rPr>
        <w:t>Journal of Financial Stability</w:t>
      </w:r>
      <w:r w:rsidRPr="0024647E">
        <w:rPr>
          <w:b/>
          <w:bCs/>
          <w:color w:val="000000"/>
        </w:rPr>
        <w:t>, </w:t>
      </w:r>
      <w:r w:rsidRPr="0024647E">
        <w:rPr>
          <w:b/>
          <w:bCs/>
          <w:i/>
          <w:iCs/>
          <w:color w:val="000000"/>
        </w:rPr>
        <w:t>54</w:t>
      </w:r>
      <w:r w:rsidRPr="0024647E">
        <w:rPr>
          <w:b/>
          <w:bCs/>
          <w:color w:val="000000"/>
        </w:rPr>
        <w:t>, 100867.</w:t>
      </w:r>
    </w:p>
    <w:p w14:paraId="15F92541" w14:textId="77777777" w:rsidR="0024647E" w:rsidRPr="0024647E" w:rsidRDefault="0024647E" w:rsidP="00B51E3F">
      <w:pPr>
        <w:spacing w:line="480" w:lineRule="auto"/>
        <w:ind w:left="720" w:hanging="720"/>
        <w:jc w:val="both"/>
        <w:rPr>
          <w:b/>
          <w:bCs/>
          <w:color w:val="000000"/>
        </w:rPr>
      </w:pPr>
      <w:r w:rsidRPr="0024647E">
        <w:rPr>
          <w:b/>
          <w:bCs/>
          <w:color w:val="000000"/>
        </w:rPr>
        <w:t xml:space="preserve">Lei, X., Mohamad, U. H., </w:t>
      </w:r>
      <w:proofErr w:type="spellStart"/>
      <w:r w:rsidRPr="0024647E">
        <w:rPr>
          <w:b/>
          <w:bCs/>
          <w:color w:val="000000"/>
        </w:rPr>
        <w:t>Sarlan</w:t>
      </w:r>
      <w:proofErr w:type="spellEnd"/>
      <w:r w:rsidRPr="0024647E">
        <w:rPr>
          <w:b/>
          <w:bCs/>
          <w:color w:val="000000"/>
        </w:rPr>
        <w:t xml:space="preserve">, A., </w:t>
      </w:r>
      <w:proofErr w:type="spellStart"/>
      <w:r w:rsidRPr="0024647E">
        <w:rPr>
          <w:b/>
          <w:bCs/>
          <w:color w:val="000000"/>
        </w:rPr>
        <w:t>Shutaywi</w:t>
      </w:r>
      <w:proofErr w:type="spellEnd"/>
      <w:r w:rsidRPr="0024647E">
        <w:rPr>
          <w:b/>
          <w:bCs/>
          <w:color w:val="000000"/>
        </w:rPr>
        <w:t xml:space="preserve">, M., </w:t>
      </w:r>
      <w:proofErr w:type="spellStart"/>
      <w:r w:rsidRPr="0024647E">
        <w:rPr>
          <w:b/>
          <w:bCs/>
          <w:color w:val="000000"/>
        </w:rPr>
        <w:t>Daradkeh</w:t>
      </w:r>
      <w:proofErr w:type="spellEnd"/>
      <w:r w:rsidRPr="0024647E">
        <w:rPr>
          <w:b/>
          <w:bCs/>
          <w:color w:val="000000"/>
        </w:rPr>
        <w:t>, Y. I., &amp; Mohammed, H. O. (2022). Development of an intelligent information system for financial analysis depend on supervised machine learning algorithms. </w:t>
      </w:r>
      <w:r w:rsidRPr="0024647E">
        <w:rPr>
          <w:b/>
          <w:bCs/>
          <w:i/>
          <w:iCs/>
          <w:color w:val="000000"/>
        </w:rPr>
        <w:t>Information Processing &amp; Management</w:t>
      </w:r>
      <w:r w:rsidRPr="0024647E">
        <w:rPr>
          <w:b/>
          <w:bCs/>
          <w:color w:val="000000"/>
        </w:rPr>
        <w:t>, </w:t>
      </w:r>
      <w:r w:rsidRPr="0024647E">
        <w:rPr>
          <w:b/>
          <w:bCs/>
          <w:i/>
          <w:iCs/>
          <w:color w:val="000000"/>
        </w:rPr>
        <w:t>59</w:t>
      </w:r>
      <w:r w:rsidRPr="0024647E">
        <w:rPr>
          <w:b/>
          <w:bCs/>
          <w:color w:val="000000"/>
        </w:rPr>
        <w:t>(5), 103036.</w:t>
      </w:r>
    </w:p>
    <w:p w14:paraId="1216EE28" w14:textId="77777777" w:rsidR="0024647E" w:rsidRPr="0024647E" w:rsidRDefault="0024647E" w:rsidP="00B51E3F">
      <w:pPr>
        <w:spacing w:line="480" w:lineRule="auto"/>
        <w:ind w:left="720" w:hanging="720"/>
        <w:jc w:val="both"/>
        <w:rPr>
          <w:b/>
          <w:bCs/>
          <w:color w:val="000000"/>
        </w:rPr>
      </w:pPr>
      <w:r w:rsidRPr="0024647E">
        <w:rPr>
          <w:b/>
          <w:bCs/>
          <w:color w:val="000000"/>
        </w:rPr>
        <w:t xml:space="preserve">Oyewole, A. T., Adeoye, O. B., Addy, W. A., Okoye, C. C., </w:t>
      </w:r>
      <w:proofErr w:type="spellStart"/>
      <w:r w:rsidRPr="0024647E">
        <w:rPr>
          <w:b/>
          <w:bCs/>
          <w:color w:val="000000"/>
        </w:rPr>
        <w:t>Ofodile</w:t>
      </w:r>
      <w:proofErr w:type="spellEnd"/>
      <w:r w:rsidRPr="0024647E">
        <w:rPr>
          <w:b/>
          <w:bCs/>
          <w:color w:val="000000"/>
        </w:rPr>
        <w:t>, O. C., &amp; Ugochukwu, C. E. (2024). Automating financial reporting with natural language processing: A review and case analysis. </w:t>
      </w:r>
      <w:r w:rsidRPr="0024647E">
        <w:rPr>
          <w:b/>
          <w:bCs/>
          <w:i/>
          <w:iCs/>
          <w:color w:val="000000"/>
        </w:rPr>
        <w:t>World Journal of Advanced Research and Reviews</w:t>
      </w:r>
      <w:r w:rsidRPr="0024647E">
        <w:rPr>
          <w:b/>
          <w:bCs/>
          <w:color w:val="000000"/>
        </w:rPr>
        <w:t>, </w:t>
      </w:r>
      <w:r w:rsidRPr="0024647E">
        <w:rPr>
          <w:b/>
          <w:bCs/>
          <w:i/>
          <w:iCs/>
          <w:color w:val="000000"/>
        </w:rPr>
        <w:t>21</w:t>
      </w:r>
      <w:r w:rsidRPr="0024647E">
        <w:rPr>
          <w:b/>
          <w:bCs/>
          <w:color w:val="000000"/>
        </w:rPr>
        <w:t>(3), 575-589.</w:t>
      </w:r>
    </w:p>
    <w:p w14:paraId="14BB2935" w14:textId="77777777" w:rsidR="0024647E" w:rsidRPr="0024647E" w:rsidRDefault="0024647E" w:rsidP="00B51E3F">
      <w:pPr>
        <w:spacing w:line="480" w:lineRule="auto"/>
        <w:ind w:left="720" w:hanging="720"/>
        <w:jc w:val="both"/>
        <w:rPr>
          <w:b/>
          <w:bCs/>
          <w:color w:val="000000"/>
        </w:rPr>
      </w:pPr>
      <w:proofErr w:type="spellStart"/>
      <w:r w:rsidRPr="0024647E">
        <w:rPr>
          <w:b/>
          <w:bCs/>
          <w:color w:val="000000"/>
        </w:rPr>
        <w:t>Revsine</w:t>
      </w:r>
      <w:proofErr w:type="spellEnd"/>
      <w:r w:rsidRPr="0024647E">
        <w:rPr>
          <w:b/>
          <w:bCs/>
          <w:color w:val="000000"/>
        </w:rPr>
        <w:t>, L., Collins, D. W., &amp; Johnson, W. B. (2021). </w:t>
      </w:r>
      <w:r w:rsidRPr="0024647E">
        <w:rPr>
          <w:b/>
          <w:bCs/>
          <w:i/>
          <w:iCs/>
          <w:color w:val="000000"/>
        </w:rPr>
        <w:t>Financial reporting &amp; analysis</w:t>
      </w:r>
      <w:r w:rsidRPr="0024647E">
        <w:rPr>
          <w:b/>
          <w:bCs/>
          <w:color w:val="000000"/>
        </w:rPr>
        <w:t>. McGraw-Hill.</w:t>
      </w:r>
    </w:p>
    <w:p w14:paraId="6B28A454" w14:textId="77777777" w:rsidR="0024647E" w:rsidRPr="0024647E" w:rsidRDefault="0024647E" w:rsidP="00B51E3F">
      <w:pPr>
        <w:spacing w:line="480" w:lineRule="auto"/>
        <w:ind w:left="720" w:hanging="720"/>
        <w:jc w:val="both"/>
        <w:rPr>
          <w:b/>
          <w:bCs/>
          <w:color w:val="000000"/>
        </w:rPr>
      </w:pPr>
      <w:r w:rsidRPr="0024647E">
        <w:rPr>
          <w:b/>
          <w:bCs/>
          <w:color w:val="000000"/>
        </w:rPr>
        <w:t>Robert, C. H., Jennifer, L. K., &amp; Todd, M. (2023). </w:t>
      </w:r>
      <w:r w:rsidRPr="0024647E">
        <w:rPr>
          <w:b/>
          <w:bCs/>
          <w:i/>
          <w:iCs/>
          <w:color w:val="000000"/>
        </w:rPr>
        <w:t>Analysis for financial management</w:t>
      </w:r>
      <w:r w:rsidRPr="0024647E">
        <w:rPr>
          <w:b/>
          <w:bCs/>
          <w:color w:val="000000"/>
        </w:rPr>
        <w:t>. McGraw-Hill Education.</w:t>
      </w:r>
    </w:p>
    <w:p w14:paraId="18E46060" w14:textId="77777777" w:rsidR="000455F6" w:rsidRPr="007E1727" w:rsidRDefault="000455F6" w:rsidP="00B51E3F">
      <w:pPr>
        <w:spacing w:line="480" w:lineRule="auto"/>
        <w:jc w:val="both"/>
        <w:rPr>
          <w:color w:val="000000"/>
        </w:rPr>
      </w:pPr>
    </w:p>
    <w:p w14:paraId="0C520018" w14:textId="77777777" w:rsidR="00A42F13" w:rsidRPr="007E1727" w:rsidRDefault="00A42F13" w:rsidP="00B224B6">
      <w:pPr>
        <w:spacing w:line="480" w:lineRule="auto"/>
        <w:jc w:val="center"/>
        <w:rPr>
          <w:color w:val="000000"/>
        </w:rPr>
      </w:pPr>
    </w:p>
    <w:sectPr w:rsidR="00A42F13" w:rsidRPr="007E1727" w:rsidSect="002830B3">
      <w:headerReference w:type="default" r:id="rId1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C861" w14:textId="77777777" w:rsidR="00B06052" w:rsidRDefault="00B06052">
      <w:r>
        <w:separator/>
      </w:r>
    </w:p>
  </w:endnote>
  <w:endnote w:type="continuationSeparator" w:id="0">
    <w:p w14:paraId="65C81CAA" w14:textId="77777777" w:rsidR="00B06052" w:rsidRDefault="00B0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A066" w14:textId="77777777" w:rsidR="00B06052" w:rsidRDefault="00B06052">
      <w:r>
        <w:separator/>
      </w:r>
    </w:p>
  </w:footnote>
  <w:footnote w:type="continuationSeparator" w:id="0">
    <w:p w14:paraId="69970860" w14:textId="77777777" w:rsidR="00B06052" w:rsidRDefault="00B0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E2" w14:textId="77777777" w:rsidR="00653666" w:rsidRDefault="00653666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ECDF87A" w14:textId="2EFC086F" w:rsidR="00653666" w:rsidRPr="00352E8D" w:rsidRDefault="00653666" w:rsidP="003F5158">
    <w:pPr>
      <w:pStyle w:val="Header"/>
      <w:ind w:right="36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0726"/>
    <w:multiLevelType w:val="hybridMultilevel"/>
    <w:tmpl w:val="CCEA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4747B"/>
    <w:multiLevelType w:val="hybridMultilevel"/>
    <w:tmpl w:val="9A9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D7AE0"/>
    <w:multiLevelType w:val="hybridMultilevel"/>
    <w:tmpl w:val="A55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F2917"/>
    <w:multiLevelType w:val="hybridMultilevel"/>
    <w:tmpl w:val="235A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A8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437F63"/>
    <w:multiLevelType w:val="hybridMultilevel"/>
    <w:tmpl w:val="F36A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97ACC"/>
    <w:multiLevelType w:val="hybridMultilevel"/>
    <w:tmpl w:val="7E56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6181D"/>
    <w:multiLevelType w:val="hybridMultilevel"/>
    <w:tmpl w:val="6D1E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04D48"/>
    <w:multiLevelType w:val="hybridMultilevel"/>
    <w:tmpl w:val="6B7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60D51"/>
    <w:multiLevelType w:val="hybridMultilevel"/>
    <w:tmpl w:val="B63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320368"/>
    <w:multiLevelType w:val="hybridMultilevel"/>
    <w:tmpl w:val="DC94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C31EBA"/>
    <w:multiLevelType w:val="hybridMultilevel"/>
    <w:tmpl w:val="E722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33"/>
  </w:num>
  <w:num w:numId="5">
    <w:abstractNumId w:val="1"/>
  </w:num>
  <w:num w:numId="6">
    <w:abstractNumId w:val="37"/>
  </w:num>
  <w:num w:numId="7">
    <w:abstractNumId w:val="34"/>
  </w:num>
  <w:num w:numId="8">
    <w:abstractNumId w:val="14"/>
  </w:num>
  <w:num w:numId="9">
    <w:abstractNumId w:val="2"/>
  </w:num>
  <w:num w:numId="10">
    <w:abstractNumId w:val="23"/>
  </w:num>
  <w:num w:numId="11">
    <w:abstractNumId w:val="4"/>
  </w:num>
  <w:num w:numId="12">
    <w:abstractNumId w:val="35"/>
  </w:num>
  <w:num w:numId="13">
    <w:abstractNumId w:val="36"/>
  </w:num>
  <w:num w:numId="14">
    <w:abstractNumId w:val="30"/>
  </w:num>
  <w:num w:numId="15">
    <w:abstractNumId w:val="40"/>
  </w:num>
  <w:num w:numId="16">
    <w:abstractNumId w:val="27"/>
  </w:num>
  <w:num w:numId="17">
    <w:abstractNumId w:val="41"/>
  </w:num>
  <w:num w:numId="18">
    <w:abstractNumId w:val="9"/>
  </w:num>
  <w:num w:numId="19">
    <w:abstractNumId w:val="7"/>
  </w:num>
  <w:num w:numId="20">
    <w:abstractNumId w:val="15"/>
  </w:num>
  <w:num w:numId="21">
    <w:abstractNumId w:val="28"/>
  </w:num>
  <w:num w:numId="22">
    <w:abstractNumId w:val="10"/>
  </w:num>
  <w:num w:numId="23">
    <w:abstractNumId w:val="31"/>
  </w:num>
  <w:num w:numId="24">
    <w:abstractNumId w:val="3"/>
  </w:num>
  <w:num w:numId="25">
    <w:abstractNumId w:val="38"/>
  </w:num>
  <w:num w:numId="26">
    <w:abstractNumId w:val="26"/>
  </w:num>
  <w:num w:numId="27">
    <w:abstractNumId w:val="12"/>
  </w:num>
  <w:num w:numId="28">
    <w:abstractNumId w:val="5"/>
  </w:num>
  <w:num w:numId="29">
    <w:abstractNumId w:val="39"/>
  </w:num>
  <w:num w:numId="30">
    <w:abstractNumId w:val="17"/>
  </w:num>
  <w:num w:numId="31">
    <w:abstractNumId w:val="0"/>
  </w:num>
  <w:num w:numId="32">
    <w:abstractNumId w:val="13"/>
  </w:num>
  <w:num w:numId="33">
    <w:abstractNumId w:val="18"/>
  </w:num>
  <w:num w:numId="34">
    <w:abstractNumId w:val="21"/>
  </w:num>
  <w:num w:numId="35">
    <w:abstractNumId w:val="29"/>
  </w:num>
  <w:num w:numId="36">
    <w:abstractNumId w:val="32"/>
  </w:num>
  <w:num w:numId="37">
    <w:abstractNumId w:val="11"/>
  </w:num>
  <w:num w:numId="38">
    <w:abstractNumId w:val="20"/>
  </w:num>
  <w:num w:numId="39">
    <w:abstractNumId w:val="25"/>
  </w:num>
  <w:num w:numId="40">
    <w:abstractNumId w:val="24"/>
  </w:num>
  <w:num w:numId="41">
    <w:abstractNumId w:val="1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0MzYztzC3MDE0MDFR0lEKTi0uzszPAykwNq0FAOrMf6UtAAAA"/>
  </w:docVars>
  <w:rsids>
    <w:rsidRoot w:val="0050433C"/>
    <w:rsid w:val="000004B1"/>
    <w:rsid w:val="00026142"/>
    <w:rsid w:val="00034325"/>
    <w:rsid w:val="0003472F"/>
    <w:rsid w:val="000455F6"/>
    <w:rsid w:val="00047143"/>
    <w:rsid w:val="000511FA"/>
    <w:rsid w:val="0006074E"/>
    <w:rsid w:val="00081629"/>
    <w:rsid w:val="00085C7F"/>
    <w:rsid w:val="00096202"/>
    <w:rsid w:val="000A198A"/>
    <w:rsid w:val="000A39A9"/>
    <w:rsid w:val="000B008D"/>
    <w:rsid w:val="000B218C"/>
    <w:rsid w:val="000B61DF"/>
    <w:rsid w:val="000B6AD6"/>
    <w:rsid w:val="000C144F"/>
    <w:rsid w:val="000C1741"/>
    <w:rsid w:val="000C6AD9"/>
    <w:rsid w:val="000E0F36"/>
    <w:rsid w:val="000F1641"/>
    <w:rsid w:val="00106FDE"/>
    <w:rsid w:val="001147C1"/>
    <w:rsid w:val="00122C18"/>
    <w:rsid w:val="00122E29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A55A9"/>
    <w:rsid w:val="001B6168"/>
    <w:rsid w:val="001D090F"/>
    <w:rsid w:val="001D1CD9"/>
    <w:rsid w:val="001D51E9"/>
    <w:rsid w:val="001F40F3"/>
    <w:rsid w:val="0020174B"/>
    <w:rsid w:val="0020241D"/>
    <w:rsid w:val="00211094"/>
    <w:rsid w:val="0021351E"/>
    <w:rsid w:val="002439C9"/>
    <w:rsid w:val="0024647E"/>
    <w:rsid w:val="0025049A"/>
    <w:rsid w:val="00253713"/>
    <w:rsid w:val="00256256"/>
    <w:rsid w:val="002830B3"/>
    <w:rsid w:val="00286395"/>
    <w:rsid w:val="002A2C9F"/>
    <w:rsid w:val="002B31CF"/>
    <w:rsid w:val="002B4B55"/>
    <w:rsid w:val="002B6BFA"/>
    <w:rsid w:val="002C00BE"/>
    <w:rsid w:val="002C7462"/>
    <w:rsid w:val="002D755D"/>
    <w:rsid w:val="002E6180"/>
    <w:rsid w:val="002F719A"/>
    <w:rsid w:val="002F7DEF"/>
    <w:rsid w:val="00302BC5"/>
    <w:rsid w:val="00312827"/>
    <w:rsid w:val="00352229"/>
    <w:rsid w:val="00352E8D"/>
    <w:rsid w:val="00354C36"/>
    <w:rsid w:val="00356E85"/>
    <w:rsid w:val="00361978"/>
    <w:rsid w:val="00364629"/>
    <w:rsid w:val="00364C68"/>
    <w:rsid w:val="003A0026"/>
    <w:rsid w:val="003A1801"/>
    <w:rsid w:val="003B7948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5754"/>
    <w:rsid w:val="00420274"/>
    <w:rsid w:val="00422016"/>
    <w:rsid w:val="00425A9A"/>
    <w:rsid w:val="00430195"/>
    <w:rsid w:val="00436393"/>
    <w:rsid w:val="00440095"/>
    <w:rsid w:val="0044069F"/>
    <w:rsid w:val="0044112E"/>
    <w:rsid w:val="00454CAF"/>
    <w:rsid w:val="00456686"/>
    <w:rsid w:val="004578EE"/>
    <w:rsid w:val="004604B1"/>
    <w:rsid w:val="00466700"/>
    <w:rsid w:val="0047025A"/>
    <w:rsid w:val="004853C2"/>
    <w:rsid w:val="00492DCE"/>
    <w:rsid w:val="0049530B"/>
    <w:rsid w:val="004A3C8E"/>
    <w:rsid w:val="004C1298"/>
    <w:rsid w:val="004C586B"/>
    <w:rsid w:val="004C5ED0"/>
    <w:rsid w:val="004E025C"/>
    <w:rsid w:val="00502A2F"/>
    <w:rsid w:val="005040FF"/>
    <w:rsid w:val="0050433C"/>
    <w:rsid w:val="0050489F"/>
    <w:rsid w:val="00522766"/>
    <w:rsid w:val="00527508"/>
    <w:rsid w:val="00530A67"/>
    <w:rsid w:val="0053493C"/>
    <w:rsid w:val="005412E4"/>
    <w:rsid w:val="005511A8"/>
    <w:rsid w:val="0055467F"/>
    <w:rsid w:val="00561A56"/>
    <w:rsid w:val="00565081"/>
    <w:rsid w:val="0057635E"/>
    <w:rsid w:val="00581CE2"/>
    <w:rsid w:val="00595B65"/>
    <w:rsid w:val="005A555C"/>
    <w:rsid w:val="005C1D17"/>
    <w:rsid w:val="005C4B3D"/>
    <w:rsid w:val="005E5214"/>
    <w:rsid w:val="005E5984"/>
    <w:rsid w:val="005F2027"/>
    <w:rsid w:val="005F3678"/>
    <w:rsid w:val="005F75ED"/>
    <w:rsid w:val="0060394A"/>
    <w:rsid w:val="006124DB"/>
    <w:rsid w:val="00614C45"/>
    <w:rsid w:val="00625523"/>
    <w:rsid w:val="0063214E"/>
    <w:rsid w:val="006416F4"/>
    <w:rsid w:val="006431F1"/>
    <w:rsid w:val="00653666"/>
    <w:rsid w:val="00656206"/>
    <w:rsid w:val="00660724"/>
    <w:rsid w:val="006624AB"/>
    <w:rsid w:val="00671116"/>
    <w:rsid w:val="00672D33"/>
    <w:rsid w:val="006730B0"/>
    <w:rsid w:val="00674A8C"/>
    <w:rsid w:val="006A5C5E"/>
    <w:rsid w:val="006B25B5"/>
    <w:rsid w:val="006C2005"/>
    <w:rsid w:val="006D6F63"/>
    <w:rsid w:val="006E1EF5"/>
    <w:rsid w:val="006F1A31"/>
    <w:rsid w:val="006F527A"/>
    <w:rsid w:val="0070200D"/>
    <w:rsid w:val="00711DC4"/>
    <w:rsid w:val="0075015A"/>
    <w:rsid w:val="00752D25"/>
    <w:rsid w:val="007572B6"/>
    <w:rsid w:val="0079639B"/>
    <w:rsid w:val="007A1B1F"/>
    <w:rsid w:val="007D1376"/>
    <w:rsid w:val="007E1727"/>
    <w:rsid w:val="007F79BB"/>
    <w:rsid w:val="008026AA"/>
    <w:rsid w:val="0081017D"/>
    <w:rsid w:val="00824636"/>
    <w:rsid w:val="008255DE"/>
    <w:rsid w:val="00841A9E"/>
    <w:rsid w:val="00841F4A"/>
    <w:rsid w:val="00844EE7"/>
    <w:rsid w:val="00854C46"/>
    <w:rsid w:val="00855899"/>
    <w:rsid w:val="00873554"/>
    <w:rsid w:val="00880C08"/>
    <w:rsid w:val="00883AAD"/>
    <w:rsid w:val="00896609"/>
    <w:rsid w:val="008A084D"/>
    <w:rsid w:val="008B7F59"/>
    <w:rsid w:val="008C7966"/>
    <w:rsid w:val="008D23AA"/>
    <w:rsid w:val="008D2859"/>
    <w:rsid w:val="008D3F0D"/>
    <w:rsid w:val="008D5565"/>
    <w:rsid w:val="008D5C02"/>
    <w:rsid w:val="008E469D"/>
    <w:rsid w:val="008F74C4"/>
    <w:rsid w:val="009007D4"/>
    <w:rsid w:val="0091254D"/>
    <w:rsid w:val="009247A1"/>
    <w:rsid w:val="0094570E"/>
    <w:rsid w:val="00954A41"/>
    <w:rsid w:val="00960B22"/>
    <w:rsid w:val="009632A1"/>
    <w:rsid w:val="00964FF8"/>
    <w:rsid w:val="009749F9"/>
    <w:rsid w:val="009758CD"/>
    <w:rsid w:val="00977C3F"/>
    <w:rsid w:val="00990C99"/>
    <w:rsid w:val="00991A50"/>
    <w:rsid w:val="009A3DEA"/>
    <w:rsid w:val="009B48D2"/>
    <w:rsid w:val="009B6C8F"/>
    <w:rsid w:val="009C36FD"/>
    <w:rsid w:val="009C743D"/>
    <w:rsid w:val="009D375B"/>
    <w:rsid w:val="009D378A"/>
    <w:rsid w:val="009E228A"/>
    <w:rsid w:val="00A00D2C"/>
    <w:rsid w:val="00A037C7"/>
    <w:rsid w:val="00A13576"/>
    <w:rsid w:val="00A142C3"/>
    <w:rsid w:val="00A1437D"/>
    <w:rsid w:val="00A225DF"/>
    <w:rsid w:val="00A27F42"/>
    <w:rsid w:val="00A37498"/>
    <w:rsid w:val="00A426A5"/>
    <w:rsid w:val="00A42F13"/>
    <w:rsid w:val="00A4532E"/>
    <w:rsid w:val="00A47689"/>
    <w:rsid w:val="00A6361F"/>
    <w:rsid w:val="00A725AF"/>
    <w:rsid w:val="00A75CFC"/>
    <w:rsid w:val="00A93CC1"/>
    <w:rsid w:val="00A95E3A"/>
    <w:rsid w:val="00AA3F20"/>
    <w:rsid w:val="00AA77D5"/>
    <w:rsid w:val="00AB3DAE"/>
    <w:rsid w:val="00AC1008"/>
    <w:rsid w:val="00AD4FAC"/>
    <w:rsid w:val="00AE1D46"/>
    <w:rsid w:val="00AE3507"/>
    <w:rsid w:val="00B02092"/>
    <w:rsid w:val="00B02A05"/>
    <w:rsid w:val="00B02DD7"/>
    <w:rsid w:val="00B042E8"/>
    <w:rsid w:val="00B06052"/>
    <w:rsid w:val="00B068A8"/>
    <w:rsid w:val="00B10C07"/>
    <w:rsid w:val="00B224B6"/>
    <w:rsid w:val="00B22E3F"/>
    <w:rsid w:val="00B32F73"/>
    <w:rsid w:val="00B342B1"/>
    <w:rsid w:val="00B37F5A"/>
    <w:rsid w:val="00B4235C"/>
    <w:rsid w:val="00B45FCA"/>
    <w:rsid w:val="00B46191"/>
    <w:rsid w:val="00B46D48"/>
    <w:rsid w:val="00B51E3F"/>
    <w:rsid w:val="00B6023E"/>
    <w:rsid w:val="00B6034C"/>
    <w:rsid w:val="00B62A78"/>
    <w:rsid w:val="00B742AF"/>
    <w:rsid w:val="00B80515"/>
    <w:rsid w:val="00B8112C"/>
    <w:rsid w:val="00B87775"/>
    <w:rsid w:val="00B93D96"/>
    <w:rsid w:val="00BA21C5"/>
    <w:rsid w:val="00BD1C8D"/>
    <w:rsid w:val="00BD3733"/>
    <w:rsid w:val="00BD6FF4"/>
    <w:rsid w:val="00BE410C"/>
    <w:rsid w:val="00BF0F1B"/>
    <w:rsid w:val="00BF7C6E"/>
    <w:rsid w:val="00C004E5"/>
    <w:rsid w:val="00C16DDC"/>
    <w:rsid w:val="00C21C1C"/>
    <w:rsid w:val="00C22265"/>
    <w:rsid w:val="00C270FF"/>
    <w:rsid w:val="00C277CE"/>
    <w:rsid w:val="00C31727"/>
    <w:rsid w:val="00C51C2A"/>
    <w:rsid w:val="00C5533D"/>
    <w:rsid w:val="00C65516"/>
    <w:rsid w:val="00C74F8E"/>
    <w:rsid w:val="00C769CD"/>
    <w:rsid w:val="00C863E2"/>
    <w:rsid w:val="00C9472F"/>
    <w:rsid w:val="00CA791D"/>
    <w:rsid w:val="00CC057E"/>
    <w:rsid w:val="00CC3628"/>
    <w:rsid w:val="00CD2528"/>
    <w:rsid w:val="00CE2E66"/>
    <w:rsid w:val="00CF070A"/>
    <w:rsid w:val="00CF088C"/>
    <w:rsid w:val="00D0108C"/>
    <w:rsid w:val="00D13AC0"/>
    <w:rsid w:val="00D172FE"/>
    <w:rsid w:val="00D200BF"/>
    <w:rsid w:val="00D47CA9"/>
    <w:rsid w:val="00D57D30"/>
    <w:rsid w:val="00D6744D"/>
    <w:rsid w:val="00D6768F"/>
    <w:rsid w:val="00D7332A"/>
    <w:rsid w:val="00D844B2"/>
    <w:rsid w:val="00D87258"/>
    <w:rsid w:val="00D96DDF"/>
    <w:rsid w:val="00DA07CA"/>
    <w:rsid w:val="00DB099B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547D4"/>
    <w:rsid w:val="00E63F35"/>
    <w:rsid w:val="00E642BD"/>
    <w:rsid w:val="00E64AD3"/>
    <w:rsid w:val="00E65B61"/>
    <w:rsid w:val="00E75D3A"/>
    <w:rsid w:val="00E80CFF"/>
    <w:rsid w:val="00E940DC"/>
    <w:rsid w:val="00E94A62"/>
    <w:rsid w:val="00E94C88"/>
    <w:rsid w:val="00EB211C"/>
    <w:rsid w:val="00EB65C0"/>
    <w:rsid w:val="00EC03B6"/>
    <w:rsid w:val="00ED47C2"/>
    <w:rsid w:val="00ED6EF3"/>
    <w:rsid w:val="00ED7EAB"/>
    <w:rsid w:val="00EE51C9"/>
    <w:rsid w:val="00EF1655"/>
    <w:rsid w:val="00EF1CB2"/>
    <w:rsid w:val="00EF57CD"/>
    <w:rsid w:val="00F10A09"/>
    <w:rsid w:val="00F20699"/>
    <w:rsid w:val="00F257CE"/>
    <w:rsid w:val="00F31B75"/>
    <w:rsid w:val="00F35BE5"/>
    <w:rsid w:val="00F378C4"/>
    <w:rsid w:val="00F4191B"/>
    <w:rsid w:val="00F43BA1"/>
    <w:rsid w:val="00F468D1"/>
    <w:rsid w:val="00F62922"/>
    <w:rsid w:val="00F64DDA"/>
    <w:rsid w:val="00F7461E"/>
    <w:rsid w:val="00F84528"/>
    <w:rsid w:val="00F8489A"/>
    <w:rsid w:val="00F84D66"/>
    <w:rsid w:val="00F93AF8"/>
    <w:rsid w:val="00F96724"/>
    <w:rsid w:val="00F96D0F"/>
    <w:rsid w:val="00F96D5C"/>
    <w:rsid w:val="00FA5606"/>
    <w:rsid w:val="00FA5A4C"/>
    <w:rsid w:val="00FA7A69"/>
    <w:rsid w:val="00FD1EEE"/>
    <w:rsid w:val="00FE13E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7EAB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6744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B84A-DAEF-4A31-BB2C-65CDD90D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2311</Words>
  <Characters>13175</Characters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2024-10-20T17:07:00Z</dcterms:created>
  <dcterms:modified xsi:type="dcterms:W3CDTF">2025-07-04T14:28:00Z</dcterms:modified>
</cp:coreProperties>
</file>