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4F1D4" w14:textId="373F5947" w:rsidR="007252EE" w:rsidRPr="007252EE" w:rsidRDefault="007252EE" w:rsidP="007252EE">
      <w:pPr>
        <w:jc w:val="center"/>
        <w:rPr>
          <w:b/>
          <w:bCs/>
          <w:i/>
          <w:iCs/>
          <w:lang w:val="en-US"/>
        </w:rPr>
      </w:pPr>
      <w:r w:rsidRPr="007252EE">
        <w:rPr>
          <w:b/>
          <w:bCs/>
          <w:i/>
          <w:iCs/>
          <w:lang w:val="en-US"/>
        </w:rPr>
        <w:t>Module 3 Discussion Week 1</w:t>
      </w:r>
    </w:p>
    <w:p w14:paraId="19AE8E7B" w14:textId="44C642FE" w:rsidR="007252EE" w:rsidRPr="007252EE" w:rsidRDefault="007252EE" w:rsidP="007252EE">
      <w:pPr>
        <w:jc w:val="center"/>
        <w:rPr>
          <w:b/>
          <w:bCs/>
          <w:lang w:val="en-US"/>
        </w:rPr>
      </w:pPr>
      <w:r w:rsidRPr="007252EE">
        <w:rPr>
          <w:b/>
          <w:bCs/>
        </w:rPr>
        <w:t>M</w:t>
      </w:r>
      <w:r w:rsidRPr="007252EE">
        <w:rPr>
          <w:b/>
          <w:bCs/>
        </w:rPr>
        <w:t xml:space="preserve">anagerial </w:t>
      </w:r>
      <w:r w:rsidRPr="007252EE">
        <w:rPr>
          <w:b/>
          <w:bCs/>
        </w:rPr>
        <w:t>A</w:t>
      </w:r>
      <w:r w:rsidRPr="007252EE">
        <w:rPr>
          <w:b/>
          <w:bCs/>
        </w:rPr>
        <w:t xml:space="preserve">ccountants </w:t>
      </w:r>
      <w:r w:rsidRPr="007252EE">
        <w:rPr>
          <w:b/>
          <w:bCs/>
        </w:rPr>
        <w:t xml:space="preserve">Utilize </w:t>
      </w:r>
      <w:r w:rsidRPr="007252EE">
        <w:rPr>
          <w:b/>
          <w:bCs/>
        </w:rPr>
        <w:t xml:space="preserve">Sustainability Accounting </w:t>
      </w:r>
      <w:r w:rsidRPr="007252EE">
        <w:rPr>
          <w:b/>
          <w:bCs/>
        </w:rPr>
        <w:t>to Assist Other Departments</w:t>
      </w:r>
    </w:p>
    <w:p w14:paraId="394BDF0C" w14:textId="74DEB175" w:rsidR="007D6CAD" w:rsidRPr="007D6CAD" w:rsidRDefault="007252EE" w:rsidP="007D6CAD">
      <w:pPr>
        <w:rPr>
          <w:lang w:val="en-US"/>
        </w:rPr>
      </w:pPr>
      <w:r>
        <w:rPr>
          <w:lang w:val="en-US"/>
        </w:rPr>
        <w:t>It is evident from the studies that the m</w:t>
      </w:r>
      <w:r w:rsidR="007D6CAD" w:rsidRPr="007D6CAD">
        <w:rPr>
          <w:lang w:val="en-US"/>
        </w:rPr>
        <w:t>anagerial accountants are playing a vital role in operationalizing sustainability across firms, particularly by leading ESG assurance efforts</w:t>
      </w:r>
      <w:r w:rsidR="00B76467">
        <w:rPr>
          <w:lang w:val="en-US"/>
        </w:rPr>
        <w:t xml:space="preserve"> </w:t>
      </w:r>
      <w:r w:rsidR="00B76467" w:rsidRPr="00B76467">
        <w:t>(Mineiro et al., 2025)</w:t>
      </w:r>
      <w:r w:rsidR="007D6CAD" w:rsidRPr="007D6CAD">
        <w:rPr>
          <w:lang w:val="en-US"/>
        </w:rPr>
        <w:t xml:space="preserve">. </w:t>
      </w:r>
      <w:r>
        <w:rPr>
          <w:lang w:val="en-US"/>
        </w:rPr>
        <w:t xml:space="preserve">Based on the </w:t>
      </w:r>
      <w:r w:rsidR="007D6CAD" w:rsidRPr="007D6CAD">
        <w:rPr>
          <w:lang w:val="en-US"/>
        </w:rPr>
        <w:t xml:space="preserve">recent study by IFAC, AICPA, and CIMA, nearly 73 percent of the world’s largest companies obtained assurance on aspects of their sustainability disclosures in </w:t>
      </w:r>
      <w:r w:rsidRPr="007D6CAD">
        <w:rPr>
          <w:lang w:val="en-US"/>
        </w:rPr>
        <w:t xml:space="preserve">2023, </w:t>
      </w:r>
      <w:r w:rsidR="007D6CAD" w:rsidRPr="007D6CAD">
        <w:rPr>
          <w:lang w:val="en-US"/>
        </w:rPr>
        <w:t>a significant increase from 51 percent in 2019</w:t>
      </w:r>
      <w:r w:rsidR="00B76467">
        <w:rPr>
          <w:lang w:val="en-US"/>
        </w:rPr>
        <w:t xml:space="preserve"> </w:t>
      </w:r>
      <w:r w:rsidR="00B76467" w:rsidRPr="00B76467">
        <w:t>(Huang et al., 2025)</w:t>
      </w:r>
      <w:r w:rsidR="007D6CAD" w:rsidRPr="007D6CAD">
        <w:rPr>
          <w:lang w:val="en-US"/>
        </w:rPr>
        <w:t xml:space="preserve">. </w:t>
      </w:r>
      <w:r>
        <w:rPr>
          <w:lang w:val="en-US"/>
        </w:rPr>
        <w:t>As per t</w:t>
      </w:r>
      <w:r w:rsidR="007D6CAD" w:rsidRPr="007D6CAD">
        <w:rPr>
          <w:lang w:val="en-US"/>
        </w:rPr>
        <w:t xml:space="preserve">hese assurance engagements, often handled by audit firms, ensure that sustainability metrics (especially greenhouse gas emissions) are reliable and credible. </w:t>
      </w:r>
      <w:r>
        <w:rPr>
          <w:lang w:val="en-US"/>
        </w:rPr>
        <w:t xml:space="preserve">It also tends to </w:t>
      </w:r>
      <w:proofErr w:type="spellStart"/>
      <w:proofErr w:type="gramStart"/>
      <w:r>
        <w:rPr>
          <w:lang w:val="en-US"/>
        </w:rPr>
        <w:t>analysed</w:t>
      </w:r>
      <w:proofErr w:type="spellEnd"/>
      <w:proofErr w:type="gramEnd"/>
      <w:r>
        <w:rPr>
          <w:lang w:val="en-US"/>
        </w:rPr>
        <w:t xml:space="preserve"> from the recent studies that the m</w:t>
      </w:r>
      <w:r w:rsidR="007D6CAD" w:rsidRPr="007D6CAD">
        <w:rPr>
          <w:lang w:val="en-US"/>
        </w:rPr>
        <w:t>anagerial accountants collaborate with audit and sustainability teams to implement internal controls, verify data quality, and integrate sustainability into existing business processes, helping other departments—such as operations, procurement, and strategy—align their actions with accurate ESG data</w:t>
      </w:r>
      <w:r w:rsidR="00B76467">
        <w:rPr>
          <w:lang w:val="en-US"/>
        </w:rPr>
        <w:t xml:space="preserve"> </w:t>
      </w:r>
      <w:r w:rsidR="00B76467" w:rsidRPr="00B76467">
        <w:t>(Mineiro et al., 2025)</w:t>
      </w:r>
      <w:r w:rsidR="007D6CAD" w:rsidRPr="007D6CAD">
        <w:rPr>
          <w:lang w:val="en-US"/>
        </w:rPr>
        <w:t>.</w:t>
      </w:r>
    </w:p>
    <w:p w14:paraId="796E8B32" w14:textId="5E80E906" w:rsidR="007D6CAD" w:rsidRPr="007252EE" w:rsidRDefault="007252EE">
      <w:pPr>
        <w:rPr>
          <w:lang w:val="en-US"/>
        </w:rPr>
      </w:pPr>
      <w:r>
        <w:rPr>
          <w:lang w:val="en-US"/>
        </w:rPr>
        <w:t xml:space="preserve">However, one of the major </w:t>
      </w:r>
      <w:r w:rsidR="007D6CAD" w:rsidRPr="007D6CAD">
        <w:rPr>
          <w:lang w:val="en-US"/>
        </w:rPr>
        <w:t>benefits of this approach extend well beyond compliance</w:t>
      </w:r>
      <w:r>
        <w:rPr>
          <w:lang w:val="en-US"/>
        </w:rPr>
        <w:t xml:space="preserve"> such as s</w:t>
      </w:r>
      <w:r w:rsidR="007D6CAD" w:rsidRPr="007D6CAD">
        <w:rPr>
          <w:lang w:val="en-US"/>
        </w:rPr>
        <w:t xml:space="preserve">ustainability accounting not only enhances trust among stakeholders by reinforcing data </w:t>
      </w:r>
      <w:r w:rsidRPr="007D6CAD">
        <w:rPr>
          <w:lang w:val="en-US"/>
        </w:rPr>
        <w:t>credibility but</w:t>
      </w:r>
      <w:r w:rsidR="007D6CAD" w:rsidRPr="007D6CAD">
        <w:rPr>
          <w:lang w:val="en-US"/>
        </w:rPr>
        <w:t xml:space="preserve"> also informs strategic insights that drive long-term value creation. </w:t>
      </w:r>
      <w:r>
        <w:rPr>
          <w:lang w:val="en-US"/>
        </w:rPr>
        <w:t>So, on the basis of that, the r</w:t>
      </w:r>
      <w:r w:rsidR="007D6CAD" w:rsidRPr="007D6CAD">
        <w:rPr>
          <w:lang w:val="en-US"/>
        </w:rPr>
        <w:t xml:space="preserve">eliable ESG data allows departments to identify risk areas—such as supply-chain emissions—and prioritize interventions that improve resilience and cost efficiency. </w:t>
      </w:r>
      <w:r>
        <w:rPr>
          <w:lang w:val="en-US"/>
        </w:rPr>
        <w:t xml:space="preserve">It also includes the </w:t>
      </w:r>
      <w:r w:rsidR="00B76467">
        <w:rPr>
          <w:lang w:val="en-US"/>
        </w:rPr>
        <w:t>a</w:t>
      </w:r>
      <w:r w:rsidR="00B76467" w:rsidRPr="007D6CAD">
        <w:rPr>
          <w:lang w:val="en-US"/>
        </w:rPr>
        <w:t>ssurance that</w:t>
      </w:r>
      <w:r w:rsidR="007D6CAD" w:rsidRPr="007D6CAD">
        <w:rPr>
          <w:lang w:val="en-US"/>
        </w:rPr>
        <w:t xml:space="preserve"> adds credibility to these disclosures, which in turn supports better decision-making, lowers cost of capital, and strengthens alignment with broader corporate and societal goals</w:t>
      </w:r>
      <w:r w:rsidR="00B76467">
        <w:rPr>
          <w:lang w:val="en-US"/>
        </w:rPr>
        <w:t xml:space="preserve"> </w:t>
      </w:r>
      <w:r w:rsidR="00B76467" w:rsidRPr="00B76467">
        <w:t>(Huang et al., 2025)</w:t>
      </w:r>
      <w:r w:rsidR="007D6CAD" w:rsidRPr="007D6CAD">
        <w:rPr>
          <w:lang w:val="en-US"/>
        </w:rPr>
        <w:t>.</w:t>
      </w:r>
      <w:r w:rsidR="007D6CAD">
        <w:br w:type="page"/>
      </w:r>
    </w:p>
    <w:p w14:paraId="27E3EA7A" w14:textId="6D570562" w:rsidR="0064386B" w:rsidRPr="007D6CAD" w:rsidRDefault="007D6CAD">
      <w:pPr>
        <w:rPr>
          <w:b/>
          <w:bCs/>
        </w:rPr>
      </w:pPr>
      <w:r w:rsidRPr="007D6CAD">
        <w:rPr>
          <w:b/>
          <w:bCs/>
        </w:rPr>
        <w:lastRenderedPageBreak/>
        <w:t xml:space="preserve">References </w:t>
      </w:r>
    </w:p>
    <w:p w14:paraId="7795CBAA" w14:textId="77777777" w:rsidR="007D6CAD" w:rsidRPr="007D6CAD" w:rsidRDefault="007D6CAD" w:rsidP="007D6CAD">
      <w:pPr>
        <w:ind w:left="720" w:hanging="720"/>
        <w:rPr>
          <w:lang w:val="en-US"/>
        </w:rPr>
      </w:pPr>
      <w:r w:rsidRPr="007D6CAD">
        <w:rPr>
          <w:lang w:val="en-US"/>
        </w:rPr>
        <w:t xml:space="preserve">Mineiro, K. M. L., Laurett, R., </w:t>
      </w:r>
      <w:proofErr w:type="spellStart"/>
      <w:r w:rsidRPr="007D6CAD">
        <w:rPr>
          <w:lang w:val="en-US"/>
        </w:rPr>
        <w:t>Nossa</w:t>
      </w:r>
      <w:proofErr w:type="spellEnd"/>
      <w:r w:rsidRPr="007D6CAD">
        <w:rPr>
          <w:lang w:val="en-US"/>
        </w:rPr>
        <w:t xml:space="preserve">, V., &amp; </w:t>
      </w:r>
      <w:proofErr w:type="spellStart"/>
      <w:r w:rsidRPr="007D6CAD">
        <w:rPr>
          <w:lang w:val="en-US"/>
        </w:rPr>
        <w:t>Nossa</w:t>
      </w:r>
      <w:proofErr w:type="spellEnd"/>
      <w:r w:rsidRPr="007D6CAD">
        <w:rPr>
          <w:lang w:val="en-US"/>
        </w:rPr>
        <w:t>, S. N. (2025). Management accountant skills: An exploratory factor analysis.</w:t>
      </w:r>
      <w:r w:rsidRPr="007D6CAD">
        <w:rPr>
          <w:i/>
          <w:iCs/>
          <w:lang w:val="en-US"/>
        </w:rPr>
        <w:t> The International Journal of Management Education, 23</w:t>
      </w:r>
      <w:r w:rsidRPr="007D6CAD">
        <w:rPr>
          <w:lang w:val="en-US"/>
        </w:rPr>
        <w:t>(3), 101209. </w:t>
      </w:r>
      <w:hyperlink r:id="rId7" w:tgtFrame="_blank" w:history="1">
        <w:r w:rsidRPr="007D6CAD">
          <w:rPr>
            <w:rStyle w:val="Hyperlink"/>
            <w:lang w:val="en-US"/>
          </w:rPr>
          <w:t>https://doi.org/10.1016/j.ijme.2025.101209</w:t>
        </w:r>
      </w:hyperlink>
    </w:p>
    <w:p w14:paraId="60DC8BBD" w14:textId="50B7382F" w:rsidR="007D6CAD" w:rsidRDefault="007D6CAD" w:rsidP="007D6CAD">
      <w:pPr>
        <w:ind w:left="720" w:hanging="720"/>
      </w:pPr>
      <w:r w:rsidRPr="007D6CAD">
        <w:t xml:space="preserve">Huang, D., Lei, L., Wang, M., &amp; Xing, Y. (2025). Managerial overextrapolation: Who and when. Management Science, 71(6), 5328-5350. </w:t>
      </w:r>
      <w:hyperlink r:id="rId8" w:history="1">
        <w:r w:rsidRPr="00A14913">
          <w:rPr>
            <w:rStyle w:val="Hyperlink"/>
          </w:rPr>
          <w:t>https://doi.org/10.1287/mnsc.2023.00901</w:t>
        </w:r>
      </w:hyperlink>
    </w:p>
    <w:p w14:paraId="2769EB3F" w14:textId="77777777" w:rsidR="007D6CAD" w:rsidRDefault="007D6CAD"/>
    <w:sectPr w:rsidR="007D6CAD" w:rsidSect="003567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19EE" w14:textId="77777777" w:rsidR="00F94C2D" w:rsidRDefault="00F94C2D" w:rsidP="007D6CAD">
      <w:pPr>
        <w:spacing w:after="0" w:line="240" w:lineRule="auto"/>
      </w:pPr>
      <w:r>
        <w:separator/>
      </w:r>
    </w:p>
  </w:endnote>
  <w:endnote w:type="continuationSeparator" w:id="0">
    <w:p w14:paraId="38D8943B" w14:textId="77777777" w:rsidR="00F94C2D" w:rsidRDefault="00F94C2D" w:rsidP="007D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1B990" w14:textId="77777777" w:rsidR="00F94C2D" w:rsidRDefault="00F94C2D" w:rsidP="007D6CAD">
      <w:pPr>
        <w:spacing w:after="0" w:line="240" w:lineRule="auto"/>
      </w:pPr>
      <w:r>
        <w:separator/>
      </w:r>
    </w:p>
  </w:footnote>
  <w:footnote w:type="continuationSeparator" w:id="0">
    <w:p w14:paraId="5F76BC92" w14:textId="77777777" w:rsidR="00F94C2D" w:rsidRDefault="00F94C2D" w:rsidP="007D6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B36AC"/>
    <w:multiLevelType w:val="multilevel"/>
    <w:tmpl w:val="3438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978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CD"/>
    <w:rsid w:val="000C25FA"/>
    <w:rsid w:val="00122163"/>
    <w:rsid w:val="00125E69"/>
    <w:rsid w:val="00210BE1"/>
    <w:rsid w:val="002424B6"/>
    <w:rsid w:val="002657E4"/>
    <w:rsid w:val="00285448"/>
    <w:rsid w:val="0029217E"/>
    <w:rsid w:val="00300E13"/>
    <w:rsid w:val="00350EFD"/>
    <w:rsid w:val="0035679A"/>
    <w:rsid w:val="00391405"/>
    <w:rsid w:val="003929D1"/>
    <w:rsid w:val="003960F6"/>
    <w:rsid w:val="00404BC3"/>
    <w:rsid w:val="00454738"/>
    <w:rsid w:val="00455EFD"/>
    <w:rsid w:val="004564F7"/>
    <w:rsid w:val="0046105D"/>
    <w:rsid w:val="005A1E63"/>
    <w:rsid w:val="0064386B"/>
    <w:rsid w:val="00684D5B"/>
    <w:rsid w:val="007252EE"/>
    <w:rsid w:val="007A4802"/>
    <w:rsid w:val="007D6CAD"/>
    <w:rsid w:val="00845289"/>
    <w:rsid w:val="0085308D"/>
    <w:rsid w:val="00883464"/>
    <w:rsid w:val="008878D3"/>
    <w:rsid w:val="00910A67"/>
    <w:rsid w:val="00933E95"/>
    <w:rsid w:val="00993F84"/>
    <w:rsid w:val="009A1204"/>
    <w:rsid w:val="009E746B"/>
    <w:rsid w:val="00A14998"/>
    <w:rsid w:val="00A7718D"/>
    <w:rsid w:val="00AF3536"/>
    <w:rsid w:val="00AF7809"/>
    <w:rsid w:val="00B76467"/>
    <w:rsid w:val="00C243C1"/>
    <w:rsid w:val="00C32392"/>
    <w:rsid w:val="00C738F9"/>
    <w:rsid w:val="00C82E20"/>
    <w:rsid w:val="00C9167B"/>
    <w:rsid w:val="00CA161A"/>
    <w:rsid w:val="00CD06CE"/>
    <w:rsid w:val="00CE1BCA"/>
    <w:rsid w:val="00DA25F7"/>
    <w:rsid w:val="00DA74D9"/>
    <w:rsid w:val="00DE21CD"/>
    <w:rsid w:val="00E023FC"/>
    <w:rsid w:val="00E205A9"/>
    <w:rsid w:val="00E84508"/>
    <w:rsid w:val="00EA5ECE"/>
    <w:rsid w:val="00EB577A"/>
    <w:rsid w:val="00ED74E7"/>
    <w:rsid w:val="00F0305F"/>
    <w:rsid w:val="00F30638"/>
    <w:rsid w:val="00F72ACF"/>
    <w:rsid w:val="00F94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0C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72ACF"/>
    <w:pPr>
      <w:keepNext/>
      <w:keepLines/>
      <w:spacing w:before="240" w:after="0"/>
      <w:outlineLvl w:val="0"/>
    </w:pPr>
    <w:rPr>
      <w:rFonts w:eastAsiaTheme="majorEastAsia" w:cstheme="majorBidi"/>
      <w:b/>
      <w:sz w:val="32"/>
      <w:szCs w:val="32"/>
      <w:u w:val="single"/>
    </w:rPr>
  </w:style>
  <w:style w:type="paragraph" w:styleId="Heading2">
    <w:name w:val="heading 2"/>
    <w:basedOn w:val="Normal"/>
    <w:next w:val="Normal"/>
    <w:link w:val="Heading2Char"/>
    <w:uiPriority w:val="9"/>
    <w:unhideWhenUsed/>
    <w:qFormat/>
    <w:rsid w:val="00350EFD"/>
    <w:pPr>
      <w:keepNext/>
      <w:keepLines/>
      <w:spacing w:before="40" w:after="0"/>
      <w:outlineLvl w:val="1"/>
    </w:pPr>
    <w:rPr>
      <w:rFonts w:eastAsiaTheme="majorEastAsia" w:cstheme="majorBidi"/>
      <w:b/>
      <w:sz w:val="26"/>
      <w:szCs w:val="26"/>
      <w:u w:val="single"/>
    </w:rPr>
  </w:style>
  <w:style w:type="paragraph" w:styleId="Heading3">
    <w:name w:val="heading 3"/>
    <w:basedOn w:val="Normal"/>
    <w:next w:val="Normal"/>
    <w:link w:val="Heading3Char"/>
    <w:uiPriority w:val="9"/>
    <w:semiHidden/>
    <w:unhideWhenUsed/>
    <w:qFormat/>
    <w:rsid w:val="00350EFD"/>
    <w:pPr>
      <w:keepNext/>
      <w:keepLines/>
      <w:spacing w:before="40" w:after="0"/>
      <w:outlineLvl w:val="2"/>
    </w:pPr>
    <w:rPr>
      <w:rFonts w:asciiTheme="majorHAnsi" w:eastAsiaTheme="majorEastAsia" w:hAnsiTheme="majorHAnsi" w:cstheme="majorBidi"/>
      <w:b/>
      <w:szCs w:val="24"/>
      <w:u w:val="single"/>
    </w:rPr>
  </w:style>
  <w:style w:type="paragraph" w:styleId="Heading4">
    <w:name w:val="heading 4"/>
    <w:basedOn w:val="Normal"/>
    <w:next w:val="Normal"/>
    <w:link w:val="Heading4Char"/>
    <w:uiPriority w:val="9"/>
    <w:semiHidden/>
    <w:unhideWhenUsed/>
    <w:qFormat/>
    <w:rsid w:val="00DE21C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21C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21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21C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21C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21C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ACF"/>
    <w:rPr>
      <w:rFonts w:ascii="Times New Roman" w:eastAsiaTheme="majorEastAsia" w:hAnsi="Times New Roman" w:cstheme="majorBidi"/>
      <w:b/>
      <w:sz w:val="32"/>
      <w:szCs w:val="32"/>
      <w:u w:val="single"/>
    </w:rPr>
  </w:style>
  <w:style w:type="character" w:customStyle="1" w:styleId="Heading2Char">
    <w:name w:val="Heading 2 Char"/>
    <w:basedOn w:val="DefaultParagraphFont"/>
    <w:link w:val="Heading2"/>
    <w:uiPriority w:val="9"/>
    <w:rsid w:val="00350EFD"/>
    <w:rPr>
      <w:rFonts w:ascii="Times New Roman" w:eastAsiaTheme="majorEastAsia" w:hAnsi="Times New Roman" w:cstheme="majorBidi"/>
      <w:b/>
      <w:sz w:val="26"/>
      <w:szCs w:val="26"/>
      <w:u w:val="single"/>
    </w:rPr>
  </w:style>
  <w:style w:type="character" w:customStyle="1" w:styleId="Heading3Char">
    <w:name w:val="Heading 3 Char"/>
    <w:basedOn w:val="DefaultParagraphFont"/>
    <w:link w:val="Heading3"/>
    <w:uiPriority w:val="9"/>
    <w:semiHidden/>
    <w:rsid w:val="00350EFD"/>
    <w:rPr>
      <w:rFonts w:asciiTheme="majorHAnsi" w:eastAsiaTheme="majorEastAsia" w:hAnsiTheme="majorHAnsi" w:cstheme="majorBidi"/>
      <w:b/>
      <w:sz w:val="24"/>
      <w:szCs w:val="24"/>
      <w:u w:val="single"/>
    </w:rPr>
  </w:style>
  <w:style w:type="character" w:customStyle="1" w:styleId="Heading4Char">
    <w:name w:val="Heading 4 Char"/>
    <w:basedOn w:val="DefaultParagraphFont"/>
    <w:link w:val="Heading4"/>
    <w:uiPriority w:val="9"/>
    <w:semiHidden/>
    <w:rsid w:val="00DE21CD"/>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E21CD"/>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DE21CD"/>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E21CD"/>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DE21CD"/>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E21CD"/>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DE2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1C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E21C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1CD"/>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E21CD"/>
    <w:pPr>
      <w:spacing w:before="160"/>
      <w:jc w:val="center"/>
    </w:pPr>
    <w:rPr>
      <w:i/>
      <w:iCs/>
      <w:color w:val="404040" w:themeColor="text1" w:themeTint="BF"/>
    </w:rPr>
  </w:style>
  <w:style w:type="character" w:customStyle="1" w:styleId="QuoteChar">
    <w:name w:val="Quote Char"/>
    <w:basedOn w:val="DefaultParagraphFont"/>
    <w:link w:val="Quote"/>
    <w:uiPriority w:val="29"/>
    <w:rsid w:val="00DE21CD"/>
    <w:rPr>
      <w:i/>
      <w:iCs/>
      <w:color w:val="404040" w:themeColor="text1" w:themeTint="BF"/>
      <w:lang w:val="en-GB"/>
    </w:rPr>
  </w:style>
  <w:style w:type="paragraph" w:styleId="ListParagraph">
    <w:name w:val="List Paragraph"/>
    <w:basedOn w:val="Normal"/>
    <w:uiPriority w:val="34"/>
    <w:qFormat/>
    <w:rsid w:val="00DE21CD"/>
    <w:pPr>
      <w:ind w:left="720"/>
      <w:contextualSpacing/>
    </w:pPr>
  </w:style>
  <w:style w:type="character" w:styleId="IntenseEmphasis">
    <w:name w:val="Intense Emphasis"/>
    <w:basedOn w:val="DefaultParagraphFont"/>
    <w:uiPriority w:val="21"/>
    <w:qFormat/>
    <w:rsid w:val="00DE21CD"/>
    <w:rPr>
      <w:i/>
      <w:iCs/>
      <w:color w:val="0F4761" w:themeColor="accent1" w:themeShade="BF"/>
    </w:rPr>
  </w:style>
  <w:style w:type="paragraph" w:styleId="IntenseQuote">
    <w:name w:val="Intense Quote"/>
    <w:basedOn w:val="Normal"/>
    <w:next w:val="Normal"/>
    <w:link w:val="IntenseQuoteChar"/>
    <w:uiPriority w:val="30"/>
    <w:qFormat/>
    <w:rsid w:val="00DE2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1CD"/>
    <w:rPr>
      <w:i/>
      <w:iCs/>
      <w:color w:val="0F4761" w:themeColor="accent1" w:themeShade="BF"/>
      <w:lang w:val="en-GB"/>
    </w:rPr>
  </w:style>
  <w:style w:type="character" w:styleId="IntenseReference">
    <w:name w:val="Intense Reference"/>
    <w:basedOn w:val="DefaultParagraphFont"/>
    <w:uiPriority w:val="32"/>
    <w:qFormat/>
    <w:rsid w:val="00DE21CD"/>
    <w:rPr>
      <w:b/>
      <w:bCs/>
      <w:smallCaps/>
      <w:color w:val="0F4761" w:themeColor="accent1" w:themeShade="BF"/>
      <w:spacing w:val="5"/>
    </w:rPr>
  </w:style>
  <w:style w:type="paragraph" w:styleId="Header">
    <w:name w:val="header"/>
    <w:basedOn w:val="Normal"/>
    <w:link w:val="HeaderChar"/>
    <w:uiPriority w:val="99"/>
    <w:unhideWhenUsed/>
    <w:rsid w:val="007D6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CAD"/>
    <w:rPr>
      <w:lang w:val="en-GB"/>
    </w:rPr>
  </w:style>
  <w:style w:type="paragraph" w:styleId="Footer">
    <w:name w:val="footer"/>
    <w:basedOn w:val="Normal"/>
    <w:link w:val="FooterChar"/>
    <w:uiPriority w:val="99"/>
    <w:unhideWhenUsed/>
    <w:rsid w:val="007D6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CAD"/>
    <w:rPr>
      <w:lang w:val="en-GB"/>
    </w:rPr>
  </w:style>
  <w:style w:type="character" w:styleId="Hyperlink">
    <w:name w:val="Hyperlink"/>
    <w:basedOn w:val="DefaultParagraphFont"/>
    <w:uiPriority w:val="99"/>
    <w:unhideWhenUsed/>
    <w:rsid w:val="007D6CAD"/>
    <w:rPr>
      <w:color w:val="467886" w:themeColor="hyperlink"/>
      <w:u w:val="single"/>
    </w:rPr>
  </w:style>
  <w:style w:type="character" w:styleId="UnresolvedMention">
    <w:name w:val="Unresolved Mention"/>
    <w:basedOn w:val="DefaultParagraphFont"/>
    <w:uiPriority w:val="99"/>
    <w:semiHidden/>
    <w:unhideWhenUsed/>
    <w:rsid w:val="007D6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87/mnsc.2023.00901" TargetMode="External"/><Relationship Id="rId3" Type="http://schemas.openxmlformats.org/officeDocument/2006/relationships/settings" Target="settings.xml"/><Relationship Id="rId7" Type="http://schemas.openxmlformats.org/officeDocument/2006/relationships/hyperlink" Target="https://doi.org/10.1016/j.ijme.2025.1012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2007</Characters>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2025-08-08T22:24:00Z</dcterms:created>
  <dcterms:modified xsi:type="dcterms:W3CDTF">2025-08-08T22:39:00Z</dcterms:modified>
</cp:coreProperties>
</file>