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67DCD" w14:textId="77777777" w:rsidR="00F468D1" w:rsidRPr="007E1727" w:rsidRDefault="00F468D1" w:rsidP="00B224B6">
      <w:pPr>
        <w:spacing w:line="480" w:lineRule="auto"/>
        <w:ind w:firstLine="720"/>
        <w:jc w:val="center"/>
        <w:rPr>
          <w:b/>
          <w:bCs/>
        </w:rPr>
      </w:pPr>
    </w:p>
    <w:p w14:paraId="09AA434B" w14:textId="77777777" w:rsidR="00F468D1" w:rsidRPr="007E1727" w:rsidRDefault="00F468D1" w:rsidP="00B224B6">
      <w:pPr>
        <w:spacing w:line="480" w:lineRule="auto"/>
        <w:ind w:firstLine="720"/>
        <w:jc w:val="center"/>
        <w:rPr>
          <w:b/>
          <w:bCs/>
        </w:rPr>
      </w:pPr>
    </w:p>
    <w:p w14:paraId="466FA396" w14:textId="77777777" w:rsidR="00F468D1" w:rsidRPr="007E1727" w:rsidRDefault="00F468D1" w:rsidP="00B224B6">
      <w:pPr>
        <w:spacing w:line="480" w:lineRule="auto"/>
        <w:ind w:firstLine="720"/>
        <w:jc w:val="center"/>
        <w:rPr>
          <w:b/>
          <w:bCs/>
        </w:rPr>
      </w:pPr>
    </w:p>
    <w:p w14:paraId="0D8CF4B9" w14:textId="77777777" w:rsidR="00F468D1" w:rsidRPr="007E1727" w:rsidRDefault="00F468D1" w:rsidP="00B224B6">
      <w:pPr>
        <w:spacing w:line="480" w:lineRule="auto"/>
        <w:ind w:firstLine="720"/>
        <w:jc w:val="center"/>
        <w:rPr>
          <w:b/>
          <w:bCs/>
        </w:rPr>
      </w:pPr>
    </w:p>
    <w:p w14:paraId="253C824D" w14:textId="737C4229" w:rsidR="00286395" w:rsidRPr="007E1727" w:rsidRDefault="001C5DC4" w:rsidP="00F378C4">
      <w:pPr>
        <w:spacing w:line="480" w:lineRule="auto"/>
        <w:jc w:val="center"/>
        <w:rPr>
          <w:b/>
          <w:bCs/>
        </w:rPr>
      </w:pPr>
      <w:r>
        <w:rPr>
          <w:b/>
          <w:bCs/>
        </w:rPr>
        <w:t>ACC 501</w:t>
      </w:r>
      <w:r w:rsidR="004C5ED0">
        <w:rPr>
          <w:b/>
          <w:bCs/>
        </w:rPr>
        <w:t xml:space="preserve"> </w:t>
      </w:r>
      <w:r w:rsidR="009B49CD">
        <w:rPr>
          <w:b/>
          <w:bCs/>
        </w:rPr>
        <w:t>SLP</w:t>
      </w:r>
      <w:r w:rsidR="00B728A1">
        <w:rPr>
          <w:b/>
          <w:bCs/>
        </w:rPr>
        <w:t xml:space="preserve"> 4</w:t>
      </w:r>
    </w:p>
    <w:p w14:paraId="215330E4" w14:textId="77777777" w:rsidR="00286395" w:rsidRPr="007E1727" w:rsidRDefault="00286395" w:rsidP="00B224B6">
      <w:pPr>
        <w:spacing w:line="480" w:lineRule="auto"/>
        <w:ind w:firstLine="720"/>
        <w:jc w:val="center"/>
      </w:pPr>
    </w:p>
    <w:p w14:paraId="0C9670E1" w14:textId="77777777" w:rsidR="00454CAF" w:rsidRPr="007E1727" w:rsidRDefault="00454CAF" w:rsidP="00F378C4">
      <w:pPr>
        <w:spacing w:line="480" w:lineRule="auto"/>
        <w:jc w:val="center"/>
      </w:pPr>
      <w:r w:rsidRPr="007E1727">
        <w:t>Your Name</w:t>
      </w:r>
    </w:p>
    <w:p w14:paraId="02750D95" w14:textId="77777777" w:rsidR="00454CAF" w:rsidRPr="007E1727" w:rsidRDefault="00454CAF" w:rsidP="00F378C4">
      <w:pPr>
        <w:spacing w:line="480" w:lineRule="auto"/>
        <w:jc w:val="center"/>
      </w:pPr>
      <w:r w:rsidRPr="007E1727">
        <w:t xml:space="preserve">Trident University International </w:t>
      </w:r>
    </w:p>
    <w:p w14:paraId="578848C0" w14:textId="77777777" w:rsidR="001C5DC4" w:rsidRDefault="001C5DC4" w:rsidP="001C5DC4">
      <w:pPr>
        <w:spacing w:line="480" w:lineRule="auto"/>
        <w:jc w:val="center"/>
      </w:pPr>
      <w:r w:rsidRPr="0079639B">
        <w:t xml:space="preserve">ACC501 Accounting for Decision Making </w:t>
      </w:r>
    </w:p>
    <w:p w14:paraId="54C389E1" w14:textId="6A19A353" w:rsidR="00844EE7" w:rsidRPr="007E1727" w:rsidRDefault="00454CAF" w:rsidP="00F378C4">
      <w:pPr>
        <w:spacing w:line="480" w:lineRule="auto"/>
        <w:jc w:val="center"/>
      </w:pPr>
      <w:r w:rsidRPr="007E1727">
        <w:t>Due Date</w:t>
      </w:r>
    </w:p>
    <w:p w14:paraId="6C8D5EF8" w14:textId="56D46919" w:rsidR="003C7F15" w:rsidRPr="007E1727" w:rsidRDefault="00352E8D" w:rsidP="00D6768F">
      <w:pPr>
        <w:spacing w:line="480" w:lineRule="auto"/>
        <w:rPr>
          <w:b/>
          <w:bCs/>
        </w:rPr>
      </w:pPr>
      <w:r w:rsidRPr="007E1727">
        <w:br w:type="page"/>
      </w:r>
    </w:p>
    <w:p w14:paraId="1DF862F2" w14:textId="78083A8D" w:rsidR="00D200BF" w:rsidRDefault="007444D2" w:rsidP="00D6768F">
      <w:pPr>
        <w:spacing w:line="480" w:lineRule="auto"/>
        <w:jc w:val="center"/>
        <w:rPr>
          <w:b/>
          <w:bCs/>
        </w:rPr>
      </w:pPr>
      <w:r>
        <w:rPr>
          <w:b/>
          <w:bCs/>
        </w:rPr>
        <w:lastRenderedPageBreak/>
        <w:t>Introduction</w:t>
      </w:r>
    </w:p>
    <w:p w14:paraId="2DBAE10D" w14:textId="3544B27F" w:rsidR="00473C8E" w:rsidRPr="00E8177A" w:rsidRDefault="00E8177A" w:rsidP="000A35F0">
      <w:pPr>
        <w:spacing w:line="480" w:lineRule="auto"/>
        <w:jc w:val="both"/>
      </w:pPr>
      <w:r w:rsidRPr="00E8177A">
        <w:tab/>
      </w:r>
      <w:r>
        <w:t>It is evident from the different studies that ethical</w:t>
      </w:r>
      <w:r w:rsidRPr="00E8177A">
        <w:t xml:space="preserve"> awareness in accounting is essential for ensuring transparency, protecting stakeholder trust, and maintaining compliance with legal and regulatory standards. </w:t>
      </w:r>
      <w:r>
        <w:t xml:space="preserve">It is </w:t>
      </w:r>
      <w:proofErr w:type="spellStart"/>
      <w:r>
        <w:t>analysed</w:t>
      </w:r>
      <w:proofErr w:type="spellEnd"/>
      <w:r>
        <w:t xml:space="preserve"> from the previous research that e</w:t>
      </w:r>
      <w:r w:rsidRPr="00E8177A">
        <w:t>ven non-accounting professionals may encounter situations where financial integrity is at risk, requiring informed decision-making to prevent misconduct</w:t>
      </w:r>
      <w:r>
        <w:t xml:space="preserve"> and a</w:t>
      </w:r>
      <w:r w:rsidRPr="00E8177A">
        <w:t>ddressing such dilemmas promptly safeguards an organization’s reputation, financial stability, and long-term sustainability</w:t>
      </w:r>
      <w:r w:rsidR="00817488">
        <w:t xml:space="preserve"> </w:t>
      </w:r>
      <w:r w:rsidR="00817488" w:rsidRPr="00817488">
        <w:t>(</w:t>
      </w:r>
      <w:proofErr w:type="spellStart"/>
      <w:r w:rsidR="00817488" w:rsidRPr="00817488">
        <w:t>Fayaz</w:t>
      </w:r>
      <w:proofErr w:type="spellEnd"/>
      <w:r w:rsidR="00817488" w:rsidRPr="00817488">
        <w:t>, Ahmadi &amp; Miri, 2024)</w:t>
      </w:r>
      <w:r w:rsidRPr="00E8177A">
        <w:t>.</w:t>
      </w:r>
    </w:p>
    <w:p w14:paraId="39F95B23" w14:textId="79BC954C" w:rsidR="00E8177A" w:rsidRPr="007E1727" w:rsidRDefault="00E8177A" w:rsidP="000A35F0">
      <w:pPr>
        <w:spacing w:line="480" w:lineRule="auto"/>
        <w:jc w:val="both"/>
        <w:rPr>
          <w:b/>
          <w:bCs/>
        </w:rPr>
      </w:pPr>
    </w:p>
    <w:p w14:paraId="046104C1" w14:textId="77777777" w:rsidR="001C5DC4" w:rsidRDefault="001C5DC4" w:rsidP="001C5DC4">
      <w:pPr>
        <w:spacing w:line="480" w:lineRule="auto"/>
        <w:jc w:val="center"/>
        <w:rPr>
          <w:rFonts w:eastAsia="Calibri"/>
          <w:b/>
          <w:bCs/>
        </w:rPr>
      </w:pPr>
      <w:r w:rsidRPr="00835D81">
        <w:rPr>
          <w:rFonts w:eastAsia="Calibri"/>
          <w:b/>
          <w:bCs/>
        </w:rPr>
        <w:t>Presentation</w:t>
      </w:r>
    </w:p>
    <w:p w14:paraId="567423A4" w14:textId="0D0F79E9" w:rsidR="00473C8E" w:rsidRPr="00473C8E" w:rsidRDefault="00473C8E" w:rsidP="000A35F0">
      <w:pPr>
        <w:spacing w:line="480" w:lineRule="auto"/>
        <w:jc w:val="both"/>
        <w:rPr>
          <w:rFonts w:eastAsia="Calibri"/>
        </w:rPr>
      </w:pPr>
      <w:r>
        <w:rPr>
          <w:rFonts w:eastAsia="Calibri"/>
          <w:b/>
          <w:bCs/>
        </w:rPr>
        <w:tab/>
      </w:r>
      <w:r>
        <w:rPr>
          <w:rFonts w:eastAsia="Calibri"/>
        </w:rPr>
        <w:t>As per the n</w:t>
      </w:r>
      <w:r w:rsidRPr="00473C8E">
        <w:rPr>
          <w:rFonts w:eastAsia="Calibri"/>
        </w:rPr>
        <w:t>on</w:t>
      </w:r>
      <w:r w:rsidRPr="00473C8E">
        <w:rPr>
          <w:rFonts w:eastAsia="Calibri"/>
        </w:rPr>
        <w:noBreakHyphen/>
        <w:t>accounting professionals within healthcare organizations may confront ethical accounting dilemmas that threaten organizational integrity. A</w:t>
      </w:r>
      <w:r>
        <w:rPr>
          <w:rFonts w:eastAsia="Calibri"/>
        </w:rPr>
        <w:t>ccording to the</w:t>
      </w:r>
      <w:r w:rsidRPr="00473C8E">
        <w:rPr>
          <w:rFonts w:eastAsia="Calibri"/>
        </w:rPr>
        <w:t xml:space="preserve"> frequent scenario involves a department leader being pressured to approve or process inflated supplier invoices toward the end of the fiscal year to meet internal budget or performance targets</w:t>
      </w:r>
      <w:r>
        <w:rPr>
          <w:rFonts w:eastAsia="Calibri"/>
        </w:rPr>
        <w:t xml:space="preserve"> and t</w:t>
      </w:r>
      <w:r w:rsidRPr="00473C8E">
        <w:rPr>
          <w:rFonts w:eastAsia="Calibri"/>
        </w:rPr>
        <w:t>his practice risks misrepresentation of financial data and raises serious integrity, transparency, and stakeholder trust issues</w:t>
      </w:r>
      <w:r w:rsidR="00817488">
        <w:rPr>
          <w:rFonts w:eastAsia="Calibri"/>
        </w:rPr>
        <w:t xml:space="preserve"> </w:t>
      </w:r>
      <w:r w:rsidR="00817488" w:rsidRPr="00817488">
        <w:rPr>
          <w:rFonts w:eastAsia="Calibri"/>
        </w:rPr>
        <w:t>(</w:t>
      </w:r>
      <w:proofErr w:type="spellStart"/>
      <w:r w:rsidR="00817488" w:rsidRPr="00817488">
        <w:rPr>
          <w:rFonts w:eastAsia="Calibri"/>
        </w:rPr>
        <w:t>Fayaz</w:t>
      </w:r>
      <w:proofErr w:type="spellEnd"/>
      <w:r w:rsidR="00817488" w:rsidRPr="00817488">
        <w:rPr>
          <w:rFonts w:eastAsia="Calibri"/>
        </w:rPr>
        <w:t>, Ahmadi &amp; Miri, 2024)</w:t>
      </w:r>
      <w:r w:rsidRPr="00473C8E">
        <w:rPr>
          <w:rFonts w:eastAsia="Calibri"/>
        </w:rPr>
        <w:t>.</w:t>
      </w:r>
    </w:p>
    <w:p w14:paraId="4088398C" w14:textId="6EB534C3" w:rsidR="00473C8E" w:rsidRPr="00473C8E" w:rsidRDefault="00473C8E" w:rsidP="000A35F0">
      <w:pPr>
        <w:spacing w:line="480" w:lineRule="auto"/>
        <w:ind w:firstLine="720"/>
        <w:jc w:val="both"/>
        <w:rPr>
          <w:rFonts w:eastAsia="Calibri"/>
        </w:rPr>
      </w:pPr>
      <w:r>
        <w:rPr>
          <w:rFonts w:eastAsia="Calibri"/>
        </w:rPr>
        <w:t>Based on s</w:t>
      </w:r>
      <w:r w:rsidRPr="00473C8E">
        <w:rPr>
          <w:rFonts w:eastAsia="Calibri"/>
        </w:rPr>
        <w:t>uch ethical gray areas, particularly where non</w:t>
      </w:r>
      <w:r w:rsidRPr="00473C8E">
        <w:rPr>
          <w:rFonts w:eastAsia="Calibri"/>
        </w:rPr>
        <w:noBreakHyphen/>
        <w:t xml:space="preserve">accounting staff must interpret or influence financial transactions, can result in unintended pressure on accounting systems and reporting standards. </w:t>
      </w:r>
      <w:r>
        <w:rPr>
          <w:rFonts w:eastAsia="Calibri"/>
        </w:rPr>
        <w:t>It is important to understand that m</w:t>
      </w:r>
      <w:r w:rsidRPr="00473C8E">
        <w:rPr>
          <w:rFonts w:eastAsia="Calibri"/>
        </w:rPr>
        <w:t xml:space="preserve">anipulating the timing or amount of expenses to improve the appearance of financial performance is deemed inconsistent with professional standards such as those set by the Institute of Management Accountants (IMA), which emphasize honesty and credibility in all reporting. In </w:t>
      </w:r>
      <w:r>
        <w:rPr>
          <w:rFonts w:eastAsia="Calibri"/>
        </w:rPr>
        <w:t xml:space="preserve">accordance with the </w:t>
      </w:r>
      <w:r w:rsidRPr="00473C8E">
        <w:rPr>
          <w:rFonts w:eastAsia="Calibri"/>
        </w:rPr>
        <w:t xml:space="preserve">healthcare procurement, </w:t>
      </w:r>
      <w:r w:rsidRPr="00473C8E">
        <w:rPr>
          <w:rFonts w:eastAsia="Calibri"/>
        </w:rPr>
        <w:lastRenderedPageBreak/>
        <w:t>conflicts of interest and proper verification of invoices are also critical to ensure compliance and ethical stewardship of funds</w:t>
      </w:r>
      <w:r w:rsidR="00817488">
        <w:rPr>
          <w:rFonts w:eastAsia="Calibri"/>
        </w:rPr>
        <w:t xml:space="preserve"> </w:t>
      </w:r>
      <w:r w:rsidR="00817488" w:rsidRPr="00817488">
        <w:rPr>
          <w:rFonts w:eastAsia="Calibri"/>
        </w:rPr>
        <w:t>(</w:t>
      </w:r>
      <w:proofErr w:type="spellStart"/>
      <w:r w:rsidR="00817488" w:rsidRPr="00817488">
        <w:rPr>
          <w:rFonts w:eastAsia="Calibri"/>
        </w:rPr>
        <w:t>Loncarek</w:t>
      </w:r>
      <w:proofErr w:type="spellEnd"/>
      <w:r w:rsidR="00817488" w:rsidRPr="00817488">
        <w:rPr>
          <w:rFonts w:eastAsia="Calibri"/>
        </w:rPr>
        <w:t xml:space="preserve">, </w:t>
      </w:r>
      <w:proofErr w:type="spellStart"/>
      <w:r w:rsidR="00817488" w:rsidRPr="00817488">
        <w:rPr>
          <w:rFonts w:eastAsia="Calibri"/>
        </w:rPr>
        <w:t>Dzakula</w:t>
      </w:r>
      <w:proofErr w:type="spellEnd"/>
      <w:r w:rsidR="00817488" w:rsidRPr="00817488">
        <w:rPr>
          <w:rFonts w:eastAsia="Calibri"/>
        </w:rPr>
        <w:t xml:space="preserve"> &amp; </w:t>
      </w:r>
      <w:proofErr w:type="spellStart"/>
      <w:r w:rsidR="00817488" w:rsidRPr="00817488">
        <w:rPr>
          <w:rFonts w:eastAsia="Calibri"/>
        </w:rPr>
        <w:t>Vocanec</w:t>
      </w:r>
      <w:proofErr w:type="spellEnd"/>
      <w:r w:rsidR="00817488" w:rsidRPr="00817488">
        <w:rPr>
          <w:rFonts w:eastAsia="Calibri"/>
        </w:rPr>
        <w:t>, 2024</w:t>
      </w:r>
      <w:proofErr w:type="gramStart"/>
      <w:r w:rsidR="00817488" w:rsidRPr="00817488">
        <w:rPr>
          <w:rFonts w:eastAsia="Calibri"/>
        </w:rPr>
        <w:t xml:space="preserve">) </w:t>
      </w:r>
      <w:r w:rsidRPr="00473C8E">
        <w:rPr>
          <w:rFonts w:eastAsia="Calibri"/>
        </w:rPr>
        <w:t>.</w:t>
      </w:r>
      <w:proofErr w:type="gramEnd"/>
    </w:p>
    <w:p w14:paraId="45148A13" w14:textId="201FFFB6" w:rsidR="00473C8E" w:rsidRDefault="00473C8E" w:rsidP="000A35F0">
      <w:pPr>
        <w:spacing w:line="480" w:lineRule="auto"/>
        <w:ind w:firstLine="720"/>
        <w:jc w:val="both"/>
        <w:rPr>
          <w:rFonts w:eastAsia="Calibri"/>
        </w:rPr>
      </w:pPr>
      <w:r>
        <w:rPr>
          <w:rFonts w:eastAsia="Calibri"/>
        </w:rPr>
        <w:t>So, it is essential to understand that in order t</w:t>
      </w:r>
      <w:r w:rsidRPr="00473C8E">
        <w:rPr>
          <w:rFonts w:eastAsia="Calibri"/>
        </w:rPr>
        <w:t>o address such dilemmas, organizations should implement several strategies grounded in recent ethics and compliance research: first, maintaining robust internal controls ensures that invoice approvals require documentation and cross-departmental validation</w:t>
      </w:r>
      <w:r w:rsidR="00817488">
        <w:rPr>
          <w:rFonts w:eastAsia="Calibri"/>
        </w:rPr>
        <w:t xml:space="preserve"> </w:t>
      </w:r>
      <w:r w:rsidR="00817488" w:rsidRPr="00817488">
        <w:rPr>
          <w:rFonts w:eastAsia="Calibri"/>
        </w:rPr>
        <w:t>(Hu et al., 2024)</w:t>
      </w:r>
      <w:r w:rsidRPr="00473C8E">
        <w:rPr>
          <w:rFonts w:eastAsia="Calibri"/>
        </w:rPr>
        <w:t xml:space="preserve">. </w:t>
      </w:r>
      <w:r>
        <w:rPr>
          <w:rFonts w:eastAsia="Calibri"/>
        </w:rPr>
        <w:t>However, on the other hand, providing</w:t>
      </w:r>
      <w:r w:rsidRPr="00473C8E">
        <w:rPr>
          <w:rFonts w:eastAsia="Calibri"/>
        </w:rPr>
        <w:t xml:space="preserve"> accessible ethics training tailored to both accounting and non-accounting staff fosters awareness of professional standards. </w:t>
      </w:r>
      <w:r>
        <w:rPr>
          <w:rFonts w:eastAsia="Calibri"/>
        </w:rPr>
        <w:t xml:space="preserve">It also tends to comprise of </w:t>
      </w:r>
      <w:r w:rsidRPr="00473C8E">
        <w:rPr>
          <w:rFonts w:eastAsia="Calibri"/>
        </w:rPr>
        <w:t>creating independent oversight or whistleblower mechanisms that empower individuals to raise concerns without fear of retaliation</w:t>
      </w:r>
      <w:r w:rsidR="00817488">
        <w:rPr>
          <w:rFonts w:eastAsia="Calibri"/>
        </w:rPr>
        <w:t xml:space="preserve"> </w:t>
      </w:r>
      <w:r w:rsidR="00817488" w:rsidRPr="00817488">
        <w:rPr>
          <w:rFonts w:eastAsia="Calibri"/>
        </w:rPr>
        <w:t>(Hu et al., 2024)</w:t>
      </w:r>
      <w:r w:rsidRPr="00473C8E">
        <w:rPr>
          <w:rFonts w:eastAsia="Calibri"/>
        </w:rPr>
        <w:t>.</w:t>
      </w:r>
    </w:p>
    <w:p w14:paraId="58C675EB" w14:textId="6506B78E" w:rsidR="00FA2C3C" w:rsidRPr="00473C8E" w:rsidRDefault="00FA2C3C" w:rsidP="000A35F0">
      <w:pPr>
        <w:spacing w:line="480" w:lineRule="auto"/>
        <w:ind w:firstLine="720"/>
        <w:jc w:val="both"/>
        <w:rPr>
          <w:rFonts w:eastAsia="Calibri"/>
        </w:rPr>
      </w:pPr>
      <w:r>
        <w:rPr>
          <w:rFonts w:eastAsia="Calibri"/>
        </w:rPr>
        <w:t>It tends to be b</w:t>
      </w:r>
      <w:r w:rsidRPr="00FA2C3C">
        <w:rPr>
          <w:rFonts w:eastAsia="Calibri"/>
        </w:rPr>
        <w:t xml:space="preserve">eyond immediate legal and reputational consequences; ethical accounting dilemmas can have long-term operational impacts. </w:t>
      </w:r>
      <w:r>
        <w:rPr>
          <w:rFonts w:eastAsia="Calibri"/>
        </w:rPr>
        <w:t>However, on the basis of i</w:t>
      </w:r>
      <w:r w:rsidRPr="00FA2C3C">
        <w:rPr>
          <w:rFonts w:eastAsia="Calibri"/>
        </w:rPr>
        <w:t xml:space="preserve">naccurate financial reporting distorts budget forecasts, impairs resource allocation, and can mislead both internal and external stakeholders. In </w:t>
      </w:r>
      <w:r>
        <w:rPr>
          <w:rFonts w:eastAsia="Calibri"/>
        </w:rPr>
        <w:t>accordance with healthcare</w:t>
      </w:r>
      <w:r w:rsidRPr="00FA2C3C">
        <w:rPr>
          <w:rFonts w:eastAsia="Calibri"/>
        </w:rPr>
        <w:t xml:space="preserve">, this may translate into underfunded patient programs, delayed equipment purchases, or the inability to respond effectively to public health emergencies. </w:t>
      </w:r>
      <w:r>
        <w:rPr>
          <w:rFonts w:eastAsia="Calibri"/>
        </w:rPr>
        <w:t>Based on t</w:t>
      </w:r>
      <w:r w:rsidRPr="00FA2C3C">
        <w:rPr>
          <w:rFonts w:eastAsia="Calibri"/>
        </w:rPr>
        <w:t>hese ripple effects illustrate that ethical lapses are not isolated incidents but catalysts for systemic inefficiency.</w:t>
      </w:r>
      <w:r>
        <w:rPr>
          <w:rFonts w:eastAsia="Calibri"/>
        </w:rPr>
        <w:t xml:space="preserve"> However, it also includes the </w:t>
      </w:r>
      <w:r w:rsidRPr="00FA2C3C">
        <w:rPr>
          <w:rFonts w:eastAsia="Calibri"/>
        </w:rPr>
        <w:t xml:space="preserve">employees who witness unethical conduct without organizational intervention may experience decreased morale, reduced engagement, and higher turnover rates. </w:t>
      </w:r>
      <w:r>
        <w:rPr>
          <w:rFonts w:eastAsia="Calibri"/>
        </w:rPr>
        <w:t>Based on t</w:t>
      </w:r>
      <w:r w:rsidRPr="00FA2C3C">
        <w:rPr>
          <w:rFonts w:eastAsia="Calibri"/>
        </w:rPr>
        <w:t xml:space="preserve">his cultural erosion </w:t>
      </w:r>
      <w:r>
        <w:rPr>
          <w:rFonts w:eastAsia="Calibri"/>
        </w:rPr>
        <w:t xml:space="preserve">which </w:t>
      </w:r>
      <w:r w:rsidRPr="00FA2C3C">
        <w:rPr>
          <w:rFonts w:eastAsia="Calibri"/>
        </w:rPr>
        <w:t>undermines collaboration and creates an environment where further ethical breaches are more likely to occur</w:t>
      </w:r>
      <w:r w:rsidR="00817488">
        <w:rPr>
          <w:rFonts w:eastAsia="Calibri"/>
        </w:rPr>
        <w:t xml:space="preserve"> </w:t>
      </w:r>
      <w:r w:rsidR="00817488" w:rsidRPr="00817488">
        <w:rPr>
          <w:rFonts w:eastAsia="Calibri"/>
        </w:rPr>
        <w:t>(Hu et al., 2024)</w:t>
      </w:r>
      <w:r w:rsidRPr="00FA2C3C">
        <w:rPr>
          <w:rFonts w:eastAsia="Calibri"/>
        </w:rPr>
        <w:t>.</w:t>
      </w:r>
      <w:r w:rsidR="002A6E99">
        <w:rPr>
          <w:rFonts w:eastAsia="Calibri"/>
        </w:rPr>
        <w:t xml:space="preserve"> However, it is important to s</w:t>
      </w:r>
      <w:r w:rsidR="002A6E99" w:rsidRPr="002A6E99">
        <w:rPr>
          <w:rFonts w:eastAsia="Calibri"/>
        </w:rPr>
        <w:t xml:space="preserve">trengthening ethical culture requires more than policy; it demands consistent reinforcement through leadership modeling, transparent communication, and the integration of ethics into everyday decision-making. </w:t>
      </w:r>
      <w:r w:rsidR="002A6E99">
        <w:rPr>
          <w:rFonts w:eastAsia="Calibri"/>
        </w:rPr>
        <w:t>On the basis of c</w:t>
      </w:r>
      <w:r w:rsidR="002A6E99" w:rsidRPr="002A6E99">
        <w:rPr>
          <w:rFonts w:eastAsia="Calibri"/>
        </w:rPr>
        <w:t>ross-</w:t>
      </w:r>
      <w:r w:rsidR="002A6E99" w:rsidRPr="002A6E99">
        <w:rPr>
          <w:rFonts w:eastAsia="Calibri"/>
        </w:rPr>
        <w:lastRenderedPageBreak/>
        <w:t xml:space="preserve">departmental ethics committees </w:t>
      </w:r>
      <w:r w:rsidR="002A6E99">
        <w:rPr>
          <w:rFonts w:eastAsia="Calibri"/>
        </w:rPr>
        <w:t>which ultimately</w:t>
      </w:r>
      <w:r w:rsidR="002A6E99" w:rsidRPr="002A6E99">
        <w:rPr>
          <w:rFonts w:eastAsia="Calibri"/>
        </w:rPr>
        <w:t xml:space="preserve"> provide a forum for discussing complex dilemmas before they escalate. </w:t>
      </w:r>
      <w:r w:rsidR="002A6E99">
        <w:rPr>
          <w:rFonts w:eastAsia="Calibri"/>
        </w:rPr>
        <w:t xml:space="preserve">Nevertheless, it also </w:t>
      </w:r>
      <w:r w:rsidR="007444D2">
        <w:rPr>
          <w:rFonts w:eastAsia="Calibri"/>
        </w:rPr>
        <w:t>comprises</w:t>
      </w:r>
      <w:r w:rsidR="002A6E99">
        <w:rPr>
          <w:rFonts w:eastAsia="Calibri"/>
        </w:rPr>
        <w:t xml:space="preserve"> of </w:t>
      </w:r>
      <w:r w:rsidR="002A6E99" w:rsidRPr="002A6E99">
        <w:rPr>
          <w:rFonts w:eastAsia="Calibri"/>
        </w:rPr>
        <w:t>embedding ethical considerations into procurement software—such as automated conflict-of-interest checks—can reduce human error and deliberate manipulation</w:t>
      </w:r>
      <w:r w:rsidR="00817488">
        <w:rPr>
          <w:rFonts w:eastAsia="Calibri"/>
        </w:rPr>
        <w:t xml:space="preserve"> </w:t>
      </w:r>
      <w:r w:rsidR="00817488" w:rsidRPr="00817488">
        <w:rPr>
          <w:rFonts w:eastAsia="Calibri"/>
        </w:rPr>
        <w:t>(Goff &amp; Stein, 2025)</w:t>
      </w:r>
      <w:r w:rsidR="002A6E99" w:rsidRPr="002A6E99">
        <w:rPr>
          <w:rFonts w:eastAsia="Calibri"/>
        </w:rPr>
        <w:t>.</w:t>
      </w:r>
    </w:p>
    <w:p w14:paraId="4001C90E" w14:textId="69AC0C5B" w:rsidR="00473C8E" w:rsidRPr="00473C8E" w:rsidRDefault="00473C8E" w:rsidP="000A35F0">
      <w:pPr>
        <w:spacing w:line="480" w:lineRule="auto"/>
        <w:ind w:firstLine="720"/>
        <w:jc w:val="both"/>
        <w:rPr>
          <w:rFonts w:eastAsia="Calibri"/>
        </w:rPr>
      </w:pPr>
      <w:r>
        <w:rPr>
          <w:rFonts w:eastAsia="Calibri"/>
        </w:rPr>
        <w:t>It is evident from recent research that w</w:t>
      </w:r>
      <w:r w:rsidRPr="00473C8E">
        <w:rPr>
          <w:rFonts w:eastAsia="Calibri"/>
        </w:rPr>
        <w:t xml:space="preserve">hen non-accounting professionals navigate these situations with transparency and adherence to policy, the organization benefits from increased credibility, reduced legal risk, and enhanced stakeholder confidence. </w:t>
      </w:r>
      <w:r>
        <w:rPr>
          <w:rFonts w:eastAsia="Calibri"/>
        </w:rPr>
        <w:t>According to the n</w:t>
      </w:r>
      <w:r w:rsidRPr="00473C8E">
        <w:rPr>
          <w:rFonts w:eastAsia="Calibri"/>
        </w:rPr>
        <w:t xml:space="preserve">on-accounting staff </w:t>
      </w:r>
      <w:r>
        <w:rPr>
          <w:rFonts w:eastAsia="Calibri"/>
        </w:rPr>
        <w:t xml:space="preserve">which tends to </w:t>
      </w:r>
      <w:r w:rsidRPr="00473C8E">
        <w:rPr>
          <w:rFonts w:eastAsia="Calibri"/>
        </w:rPr>
        <w:t>play a critical role in upholding ethical accounting culture—especially in environments like healthcare where financial misrepresentation can erode trust and jeopardize patient-centered missions</w:t>
      </w:r>
      <w:r w:rsidR="00817488">
        <w:rPr>
          <w:rFonts w:eastAsia="Calibri"/>
        </w:rPr>
        <w:t xml:space="preserve"> </w:t>
      </w:r>
      <w:r w:rsidR="00817488" w:rsidRPr="00817488">
        <w:rPr>
          <w:rFonts w:eastAsia="Calibri"/>
        </w:rPr>
        <w:t>(Goff &amp; Stein, 2025)</w:t>
      </w:r>
      <w:r w:rsidRPr="00473C8E">
        <w:rPr>
          <w:rFonts w:eastAsia="Calibri"/>
        </w:rPr>
        <w:t xml:space="preserve">. </w:t>
      </w:r>
      <w:r>
        <w:rPr>
          <w:rFonts w:eastAsia="Calibri"/>
        </w:rPr>
        <w:t>On the basis of that a</w:t>
      </w:r>
      <w:r w:rsidRPr="00473C8E">
        <w:rPr>
          <w:rFonts w:eastAsia="Calibri"/>
        </w:rPr>
        <w:t>dherence to ethical standards supports a sustainable and trustworthy organizational foundation.</w:t>
      </w:r>
    </w:p>
    <w:p w14:paraId="2B0AAFF3" w14:textId="1F8AE2DF" w:rsidR="00473C8E" w:rsidRPr="00835D81" w:rsidRDefault="00473C8E" w:rsidP="00473C8E">
      <w:pPr>
        <w:spacing w:line="480" w:lineRule="auto"/>
        <w:rPr>
          <w:rFonts w:eastAsia="Calibri"/>
          <w:b/>
          <w:bCs/>
        </w:rPr>
      </w:pPr>
    </w:p>
    <w:p w14:paraId="350CFC17" w14:textId="77777777" w:rsidR="00705E57" w:rsidRPr="007E1727" w:rsidRDefault="00705E57" w:rsidP="00473C8E">
      <w:pPr>
        <w:spacing w:line="480" w:lineRule="auto"/>
        <w:jc w:val="center"/>
        <w:rPr>
          <w:b/>
          <w:color w:val="000000"/>
        </w:rPr>
      </w:pPr>
      <w:r w:rsidRPr="007E1727">
        <w:rPr>
          <w:b/>
          <w:color w:val="000000"/>
        </w:rPr>
        <w:t>Conclusion</w:t>
      </w:r>
    </w:p>
    <w:p w14:paraId="054C6B70" w14:textId="75448FA0" w:rsidR="000455F6" w:rsidRPr="007E1727" w:rsidRDefault="00473C8E" w:rsidP="000A35F0">
      <w:pPr>
        <w:tabs>
          <w:tab w:val="left" w:pos="360"/>
        </w:tabs>
        <w:overflowPunct w:val="0"/>
        <w:autoSpaceDE w:val="0"/>
        <w:autoSpaceDN w:val="0"/>
        <w:adjustRightInd w:val="0"/>
        <w:spacing w:line="480" w:lineRule="auto"/>
        <w:jc w:val="both"/>
        <w:textAlignment w:val="baseline"/>
        <w:rPr>
          <w:color w:val="000000"/>
        </w:rPr>
      </w:pPr>
      <w:r>
        <w:rPr>
          <w:color w:val="000000"/>
        </w:rPr>
        <w:tab/>
        <w:t xml:space="preserve">According to the above analysis which tends to </w:t>
      </w:r>
      <w:r w:rsidR="007444D2">
        <w:rPr>
          <w:color w:val="000000"/>
        </w:rPr>
        <w:t>conclude</w:t>
      </w:r>
      <w:r>
        <w:rPr>
          <w:color w:val="000000"/>
        </w:rPr>
        <w:t xml:space="preserve"> that u</w:t>
      </w:r>
      <w:r w:rsidRPr="00473C8E">
        <w:rPr>
          <w:color w:val="000000"/>
        </w:rPr>
        <w:t>pholding ethical accounting practices is not solely the responsibility of finance teams; it requires vigilance and integrity from all employees, regardless of role</w:t>
      </w:r>
      <w:r>
        <w:rPr>
          <w:color w:val="000000"/>
        </w:rPr>
        <w:t xml:space="preserve"> such as b</w:t>
      </w:r>
      <w:r w:rsidRPr="00473C8E">
        <w:rPr>
          <w:color w:val="000000"/>
        </w:rPr>
        <w:t xml:space="preserve">y addressing dilemmas transparently and applying established compliance measures, organizations can safeguard both their financial credibility and their broader mission. In </w:t>
      </w:r>
      <w:r>
        <w:rPr>
          <w:color w:val="000000"/>
        </w:rPr>
        <w:t xml:space="preserve">accordance with </w:t>
      </w:r>
      <w:r w:rsidR="007444D2">
        <w:rPr>
          <w:color w:val="000000"/>
        </w:rPr>
        <w:t>healthcare</w:t>
      </w:r>
      <w:r w:rsidRPr="00473C8E">
        <w:rPr>
          <w:color w:val="000000"/>
        </w:rPr>
        <w:t>, this commitment not only protects resources but also reinforces the trust patients and communities place in the institution.</w:t>
      </w:r>
    </w:p>
    <w:p w14:paraId="5FC249A1" w14:textId="77777777" w:rsidR="000455F6" w:rsidRPr="007E1727" w:rsidRDefault="000455F6" w:rsidP="00B60ED1">
      <w:pPr>
        <w:tabs>
          <w:tab w:val="left" w:pos="360"/>
        </w:tabs>
        <w:overflowPunct w:val="0"/>
        <w:autoSpaceDE w:val="0"/>
        <w:autoSpaceDN w:val="0"/>
        <w:adjustRightInd w:val="0"/>
        <w:spacing w:line="480" w:lineRule="auto"/>
        <w:ind w:left="-360"/>
        <w:jc w:val="center"/>
        <w:textAlignment w:val="baseline"/>
        <w:rPr>
          <w:color w:val="000000"/>
          <w:highlight w:val="yellow"/>
        </w:rPr>
      </w:pPr>
      <w:r w:rsidRPr="007E1727">
        <w:rPr>
          <w:color w:val="000000"/>
        </w:rPr>
        <w:br w:type="page"/>
      </w:r>
      <w:r w:rsidRPr="007E1727">
        <w:rPr>
          <w:b/>
          <w:color w:val="000000"/>
        </w:rPr>
        <w:lastRenderedPageBreak/>
        <w:t>References</w:t>
      </w:r>
    </w:p>
    <w:p w14:paraId="098F67DC" w14:textId="77777777" w:rsidR="00B60ED1" w:rsidRPr="00817488" w:rsidRDefault="00B60ED1" w:rsidP="00B60ED1">
      <w:pPr>
        <w:spacing w:line="480" w:lineRule="auto"/>
        <w:ind w:left="1077" w:hanging="720"/>
        <w:jc w:val="both"/>
        <w:rPr>
          <w:color w:val="000000"/>
        </w:rPr>
      </w:pPr>
      <w:bookmarkStart w:id="0" w:name="_GoBack"/>
      <w:bookmarkEnd w:id="0"/>
      <w:proofErr w:type="spellStart"/>
      <w:r w:rsidRPr="00817488">
        <w:rPr>
          <w:color w:val="000000"/>
        </w:rPr>
        <w:t>Fayaz</w:t>
      </w:r>
      <w:proofErr w:type="spellEnd"/>
      <w:r w:rsidRPr="00817488">
        <w:rPr>
          <w:color w:val="000000"/>
        </w:rPr>
        <w:t>, Y., Ahmadi, S. U., &amp; Miri, S. A. S. (2024). The ethical dilemma of tooth extraction on patient request [letter].</w:t>
      </w:r>
      <w:r w:rsidRPr="00817488">
        <w:rPr>
          <w:i/>
          <w:iCs/>
          <w:color w:val="000000"/>
        </w:rPr>
        <w:t> Clinical, Cosmetic and Investigational Dentistry, 16</w:t>
      </w:r>
      <w:r w:rsidRPr="00817488">
        <w:rPr>
          <w:color w:val="000000"/>
        </w:rPr>
        <w:t>, 283-284. </w:t>
      </w:r>
      <w:hyperlink r:id="rId7" w:tgtFrame="_blank" w:history="1">
        <w:r w:rsidRPr="00817488">
          <w:rPr>
            <w:rStyle w:val="Hyperlink"/>
          </w:rPr>
          <w:t>https://doi.org/10.2147/CCIDE.S492709</w:t>
        </w:r>
      </w:hyperlink>
    </w:p>
    <w:p w14:paraId="5D9014BF" w14:textId="77777777" w:rsidR="00B60ED1" w:rsidRPr="00817488" w:rsidRDefault="00B60ED1" w:rsidP="00B60ED1">
      <w:pPr>
        <w:spacing w:line="480" w:lineRule="auto"/>
        <w:ind w:left="1077" w:hanging="720"/>
        <w:jc w:val="both"/>
        <w:rPr>
          <w:color w:val="000000"/>
        </w:rPr>
      </w:pPr>
      <w:r w:rsidRPr="00817488">
        <w:rPr>
          <w:color w:val="000000"/>
        </w:rPr>
        <w:t>Goff, G. K., &amp; Stein, S. L. (2025). Cosmeceuticals in the pediatric population part II: Ethical dilemmas and patient talking points.</w:t>
      </w:r>
      <w:r w:rsidRPr="00817488">
        <w:rPr>
          <w:i/>
          <w:iCs/>
          <w:color w:val="000000"/>
        </w:rPr>
        <w:t> Pediatric Dermatology, 42</w:t>
      </w:r>
      <w:r w:rsidRPr="00817488">
        <w:rPr>
          <w:color w:val="000000"/>
        </w:rPr>
        <w:t>(2), 228-232. </w:t>
      </w:r>
      <w:hyperlink r:id="rId8" w:tgtFrame="_blank" w:history="1">
        <w:r w:rsidRPr="00817488">
          <w:rPr>
            <w:rStyle w:val="Hyperlink"/>
          </w:rPr>
          <w:t>https://doi.org/10.1111/pde.15867</w:t>
        </w:r>
      </w:hyperlink>
    </w:p>
    <w:p w14:paraId="7B78DB92" w14:textId="77777777" w:rsidR="00B60ED1" w:rsidRPr="00817488" w:rsidRDefault="00B60ED1" w:rsidP="00B60ED1">
      <w:pPr>
        <w:spacing w:line="480" w:lineRule="auto"/>
        <w:ind w:left="1077" w:hanging="720"/>
        <w:jc w:val="both"/>
        <w:rPr>
          <w:color w:val="000000"/>
        </w:rPr>
      </w:pPr>
      <w:r w:rsidRPr="00817488">
        <w:rPr>
          <w:color w:val="000000"/>
        </w:rPr>
        <w:t xml:space="preserve">Hu, W., Shang, K., Wang, X., &amp; Li, X. (2024). Cultural translation of the ethical dimension: A study on the reliability and validity of the </w:t>
      </w:r>
      <w:proofErr w:type="spellStart"/>
      <w:r w:rsidRPr="00817488">
        <w:rPr>
          <w:color w:val="000000"/>
        </w:rPr>
        <w:t>chinese</w:t>
      </w:r>
      <w:proofErr w:type="spellEnd"/>
      <w:r w:rsidRPr="00817488">
        <w:rPr>
          <w:color w:val="000000"/>
        </w:rPr>
        <w:t xml:space="preserve"> nurses’ professional ethical dilemma scale.</w:t>
      </w:r>
      <w:r w:rsidRPr="00817488">
        <w:rPr>
          <w:i/>
          <w:iCs/>
          <w:color w:val="000000"/>
        </w:rPr>
        <w:t> BMC Nursing, 23</w:t>
      </w:r>
      <w:r w:rsidRPr="00817488">
        <w:rPr>
          <w:color w:val="000000"/>
        </w:rPr>
        <w:t>(1), 711-13. </w:t>
      </w:r>
      <w:hyperlink r:id="rId9" w:tgtFrame="_blank" w:history="1">
        <w:r w:rsidRPr="00817488">
          <w:rPr>
            <w:rStyle w:val="Hyperlink"/>
          </w:rPr>
          <w:t>https://doi.org/10.1186/s12912-024-02380-3</w:t>
        </w:r>
      </w:hyperlink>
    </w:p>
    <w:p w14:paraId="668C575D" w14:textId="77777777" w:rsidR="00B60ED1" w:rsidRPr="00817488" w:rsidRDefault="00B60ED1" w:rsidP="00B60ED1">
      <w:pPr>
        <w:spacing w:line="480" w:lineRule="auto"/>
        <w:ind w:left="1077" w:hanging="720"/>
        <w:jc w:val="both"/>
        <w:rPr>
          <w:color w:val="000000"/>
        </w:rPr>
      </w:pPr>
      <w:proofErr w:type="spellStart"/>
      <w:r w:rsidRPr="00817488">
        <w:rPr>
          <w:color w:val="000000"/>
        </w:rPr>
        <w:t>Loncarek</w:t>
      </w:r>
      <w:proofErr w:type="spellEnd"/>
      <w:r w:rsidRPr="00817488">
        <w:rPr>
          <w:color w:val="000000"/>
        </w:rPr>
        <w:t xml:space="preserve">, K., </w:t>
      </w:r>
      <w:proofErr w:type="spellStart"/>
      <w:r w:rsidRPr="00817488">
        <w:rPr>
          <w:color w:val="000000"/>
        </w:rPr>
        <w:t>Dzakula</w:t>
      </w:r>
      <w:proofErr w:type="spellEnd"/>
      <w:r w:rsidRPr="00817488">
        <w:rPr>
          <w:color w:val="000000"/>
        </w:rPr>
        <w:t xml:space="preserve">, A., &amp; </w:t>
      </w:r>
      <w:proofErr w:type="spellStart"/>
      <w:r w:rsidRPr="00817488">
        <w:rPr>
          <w:color w:val="000000"/>
        </w:rPr>
        <w:t>Vocanec</w:t>
      </w:r>
      <w:proofErr w:type="spellEnd"/>
      <w:r w:rsidRPr="00817488">
        <w:rPr>
          <w:color w:val="000000"/>
        </w:rPr>
        <w:t>, D. (2024). A new generation of health professionals – ethical dilemmas and challenges.</w:t>
      </w:r>
      <w:r w:rsidRPr="00817488">
        <w:rPr>
          <w:i/>
          <w:iCs/>
          <w:color w:val="000000"/>
        </w:rPr>
        <w:t> Croatian Medical Journal, 65</w:t>
      </w:r>
      <w:r w:rsidRPr="00817488">
        <w:rPr>
          <w:color w:val="000000"/>
        </w:rPr>
        <w:t>(5), 403-404. </w:t>
      </w:r>
      <w:hyperlink r:id="rId10" w:tgtFrame="_blank" w:history="1">
        <w:r w:rsidRPr="00817488">
          <w:rPr>
            <w:rStyle w:val="Hyperlink"/>
          </w:rPr>
          <w:t>https://doi.org/10.3325/cmj.2024.65.403</w:t>
        </w:r>
      </w:hyperlink>
    </w:p>
    <w:p w14:paraId="0C520018" w14:textId="77777777" w:rsidR="00A42F13" w:rsidRPr="007E1727" w:rsidRDefault="00A42F13" w:rsidP="00B224B6">
      <w:pPr>
        <w:spacing w:line="480" w:lineRule="auto"/>
        <w:jc w:val="center"/>
        <w:rPr>
          <w:color w:val="000000"/>
        </w:rPr>
      </w:pPr>
    </w:p>
    <w:sectPr w:rsidR="00A42F13" w:rsidRPr="007E1727" w:rsidSect="00CE24EE">
      <w:head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C883B" w14:textId="77777777" w:rsidR="004939B5" w:rsidRDefault="004939B5">
      <w:r>
        <w:separator/>
      </w:r>
    </w:p>
  </w:endnote>
  <w:endnote w:type="continuationSeparator" w:id="0">
    <w:p w14:paraId="5F1898DD" w14:textId="77777777" w:rsidR="004939B5" w:rsidRDefault="0049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E192B" w14:textId="77777777" w:rsidR="004939B5" w:rsidRDefault="004939B5">
      <w:r>
        <w:separator/>
      </w:r>
    </w:p>
  </w:footnote>
  <w:footnote w:type="continuationSeparator" w:id="0">
    <w:p w14:paraId="3A38E429" w14:textId="77777777" w:rsidR="004939B5" w:rsidRDefault="00493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6E0E2" w14:textId="77777777" w:rsidR="00653666" w:rsidRDefault="00653666" w:rsidP="000261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032D">
      <w:rPr>
        <w:rStyle w:val="PageNumber"/>
        <w:noProof/>
      </w:rPr>
      <w:t>5</w:t>
    </w:r>
    <w:r>
      <w:rPr>
        <w:rStyle w:val="PageNumber"/>
      </w:rPr>
      <w:fldChar w:fldCharType="end"/>
    </w:r>
  </w:p>
  <w:p w14:paraId="0ECDF87A" w14:textId="0EC8D4B4" w:rsidR="00653666" w:rsidRPr="00352E8D" w:rsidRDefault="00ED6EF3" w:rsidP="003F5158">
    <w:pPr>
      <w:pStyle w:val="Header"/>
      <w:ind w:right="360"/>
      <w:rPr>
        <w:sz w:val="22"/>
        <w:szCs w:val="22"/>
      </w:rPr>
    </w:pPr>
    <w:r>
      <w:t>MGT302</w:t>
    </w:r>
    <w:r w:rsidR="00653666">
      <w:t xml:space="preserve"> </w:t>
    </w:r>
    <w:r w:rsidR="009B49CD">
      <w:t>SLP</w:t>
    </w:r>
    <w:r w:rsidR="00B728A1">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B0726"/>
    <w:multiLevelType w:val="hybridMultilevel"/>
    <w:tmpl w:val="CCEA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D4747B"/>
    <w:multiLevelType w:val="hybridMultilevel"/>
    <w:tmpl w:val="9A924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D2E98"/>
    <w:multiLevelType w:val="hybridMultilevel"/>
    <w:tmpl w:val="6550174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51D7AE0"/>
    <w:multiLevelType w:val="hybridMultilevel"/>
    <w:tmpl w:val="A552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663D2"/>
    <w:multiLevelType w:val="multilevel"/>
    <w:tmpl w:val="8F8E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1525B"/>
    <w:multiLevelType w:val="multilevel"/>
    <w:tmpl w:val="7BDC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2F2917"/>
    <w:multiLevelType w:val="hybridMultilevel"/>
    <w:tmpl w:val="235A8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24A8D6E">
      <w:numFmt w:val="bullet"/>
      <w:lvlText w:val="•"/>
      <w:lvlJc w:val="left"/>
      <w:pPr>
        <w:ind w:left="2520" w:hanging="72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437F63"/>
    <w:multiLevelType w:val="hybridMultilevel"/>
    <w:tmpl w:val="F36A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C97ACC"/>
    <w:multiLevelType w:val="hybridMultilevel"/>
    <w:tmpl w:val="7E56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6181D"/>
    <w:multiLevelType w:val="hybridMultilevel"/>
    <w:tmpl w:val="6D1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04D48"/>
    <w:multiLevelType w:val="hybridMultilevel"/>
    <w:tmpl w:val="6B7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960D51"/>
    <w:multiLevelType w:val="hybridMultilevel"/>
    <w:tmpl w:val="B63A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10872"/>
    <w:multiLevelType w:val="multilevel"/>
    <w:tmpl w:val="7B28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320368"/>
    <w:multiLevelType w:val="hybridMultilevel"/>
    <w:tmpl w:val="DC94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C31EBA"/>
    <w:multiLevelType w:val="hybridMultilevel"/>
    <w:tmpl w:val="E722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B6368D6"/>
    <w:multiLevelType w:val="multilevel"/>
    <w:tmpl w:val="48AA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22"/>
  </w:num>
  <w:num w:numId="4">
    <w:abstractNumId w:val="37"/>
  </w:num>
  <w:num w:numId="5">
    <w:abstractNumId w:val="1"/>
  </w:num>
  <w:num w:numId="6">
    <w:abstractNumId w:val="41"/>
  </w:num>
  <w:num w:numId="7">
    <w:abstractNumId w:val="38"/>
  </w:num>
  <w:num w:numId="8">
    <w:abstractNumId w:val="15"/>
  </w:num>
  <w:num w:numId="9">
    <w:abstractNumId w:val="2"/>
  </w:num>
  <w:num w:numId="10">
    <w:abstractNumId w:val="26"/>
  </w:num>
  <w:num w:numId="11">
    <w:abstractNumId w:val="4"/>
  </w:num>
  <w:num w:numId="12">
    <w:abstractNumId w:val="39"/>
  </w:num>
  <w:num w:numId="13">
    <w:abstractNumId w:val="40"/>
  </w:num>
  <w:num w:numId="14">
    <w:abstractNumId w:val="34"/>
  </w:num>
  <w:num w:numId="15">
    <w:abstractNumId w:val="45"/>
  </w:num>
  <w:num w:numId="16">
    <w:abstractNumId w:val="31"/>
  </w:num>
  <w:num w:numId="17">
    <w:abstractNumId w:val="46"/>
  </w:num>
  <w:num w:numId="18">
    <w:abstractNumId w:val="9"/>
  </w:num>
  <w:num w:numId="19">
    <w:abstractNumId w:val="7"/>
  </w:num>
  <w:num w:numId="20">
    <w:abstractNumId w:val="18"/>
  </w:num>
  <w:num w:numId="21">
    <w:abstractNumId w:val="32"/>
  </w:num>
  <w:num w:numId="22">
    <w:abstractNumId w:val="10"/>
  </w:num>
  <w:num w:numId="23">
    <w:abstractNumId w:val="35"/>
  </w:num>
  <w:num w:numId="24">
    <w:abstractNumId w:val="3"/>
  </w:num>
  <w:num w:numId="25">
    <w:abstractNumId w:val="42"/>
  </w:num>
  <w:num w:numId="26">
    <w:abstractNumId w:val="30"/>
  </w:num>
  <w:num w:numId="27">
    <w:abstractNumId w:val="12"/>
  </w:num>
  <w:num w:numId="28">
    <w:abstractNumId w:val="5"/>
  </w:num>
  <w:num w:numId="29">
    <w:abstractNumId w:val="44"/>
  </w:num>
  <w:num w:numId="30">
    <w:abstractNumId w:val="20"/>
  </w:num>
  <w:num w:numId="31">
    <w:abstractNumId w:val="0"/>
  </w:num>
  <w:num w:numId="32">
    <w:abstractNumId w:val="14"/>
  </w:num>
  <w:num w:numId="33">
    <w:abstractNumId w:val="21"/>
  </w:num>
  <w:num w:numId="34">
    <w:abstractNumId w:val="24"/>
  </w:num>
  <w:num w:numId="35">
    <w:abstractNumId w:val="33"/>
  </w:num>
  <w:num w:numId="36">
    <w:abstractNumId w:val="36"/>
  </w:num>
  <w:num w:numId="37">
    <w:abstractNumId w:val="11"/>
  </w:num>
  <w:num w:numId="38">
    <w:abstractNumId w:val="23"/>
  </w:num>
  <w:num w:numId="39">
    <w:abstractNumId w:val="28"/>
  </w:num>
  <w:num w:numId="40">
    <w:abstractNumId w:val="27"/>
  </w:num>
  <w:num w:numId="41">
    <w:abstractNumId w:val="19"/>
  </w:num>
  <w:num w:numId="42">
    <w:abstractNumId w:val="6"/>
  </w:num>
  <w:num w:numId="43">
    <w:abstractNumId w:val="43"/>
  </w:num>
  <w:num w:numId="44">
    <w:abstractNumId w:val="16"/>
  </w:num>
  <w:num w:numId="45">
    <w:abstractNumId w:val="29"/>
  </w:num>
  <w:num w:numId="46">
    <w:abstractNumId w:val="17"/>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Q0MzYztzC3MDE0MDFR0lEKTi0uzszPAykwNq4FAGxrJfMtAAAA"/>
  </w:docVars>
  <w:rsids>
    <w:rsidRoot w:val="0050433C"/>
    <w:rsid w:val="00026142"/>
    <w:rsid w:val="0003472F"/>
    <w:rsid w:val="000455F6"/>
    <w:rsid w:val="00047143"/>
    <w:rsid w:val="000511FA"/>
    <w:rsid w:val="0006074E"/>
    <w:rsid w:val="0008078B"/>
    <w:rsid w:val="00081629"/>
    <w:rsid w:val="00085C7F"/>
    <w:rsid w:val="00096202"/>
    <w:rsid w:val="000A198A"/>
    <w:rsid w:val="000A35F0"/>
    <w:rsid w:val="000A39A9"/>
    <w:rsid w:val="000B008D"/>
    <w:rsid w:val="000B218C"/>
    <w:rsid w:val="000B6AD6"/>
    <w:rsid w:val="000C144F"/>
    <w:rsid w:val="000C1741"/>
    <w:rsid w:val="000C6AD9"/>
    <w:rsid w:val="000E0F36"/>
    <w:rsid w:val="000F1641"/>
    <w:rsid w:val="00106FDE"/>
    <w:rsid w:val="001147C1"/>
    <w:rsid w:val="00122C18"/>
    <w:rsid w:val="001253D5"/>
    <w:rsid w:val="00131A1B"/>
    <w:rsid w:val="001377D4"/>
    <w:rsid w:val="00147909"/>
    <w:rsid w:val="00150EEF"/>
    <w:rsid w:val="00154F49"/>
    <w:rsid w:val="00163836"/>
    <w:rsid w:val="00167D67"/>
    <w:rsid w:val="001758DE"/>
    <w:rsid w:val="00182003"/>
    <w:rsid w:val="001A55A9"/>
    <w:rsid w:val="001B6168"/>
    <w:rsid w:val="001C5DC4"/>
    <w:rsid w:val="001D090F"/>
    <w:rsid w:val="001D1CD9"/>
    <w:rsid w:val="001D51E9"/>
    <w:rsid w:val="001F40F3"/>
    <w:rsid w:val="0020174B"/>
    <w:rsid w:val="0020241D"/>
    <w:rsid w:val="00211094"/>
    <w:rsid w:val="0021351E"/>
    <w:rsid w:val="002439C9"/>
    <w:rsid w:val="00253713"/>
    <w:rsid w:val="00256256"/>
    <w:rsid w:val="00286395"/>
    <w:rsid w:val="00293D1B"/>
    <w:rsid w:val="002A2C9F"/>
    <w:rsid w:val="002A6E99"/>
    <w:rsid w:val="002B31CF"/>
    <w:rsid w:val="002B4B55"/>
    <w:rsid w:val="002B6BFA"/>
    <w:rsid w:val="002C00BE"/>
    <w:rsid w:val="002C7462"/>
    <w:rsid w:val="002D755D"/>
    <w:rsid w:val="002E6180"/>
    <w:rsid w:val="002F7DEF"/>
    <w:rsid w:val="00302BC5"/>
    <w:rsid w:val="00312827"/>
    <w:rsid w:val="003235E4"/>
    <w:rsid w:val="00352229"/>
    <w:rsid w:val="00352E8D"/>
    <w:rsid w:val="00354C36"/>
    <w:rsid w:val="00356E85"/>
    <w:rsid w:val="00361978"/>
    <w:rsid w:val="00364629"/>
    <w:rsid w:val="00364C68"/>
    <w:rsid w:val="003A0026"/>
    <w:rsid w:val="003A1801"/>
    <w:rsid w:val="003B7948"/>
    <w:rsid w:val="003C7F15"/>
    <w:rsid w:val="003D63C6"/>
    <w:rsid w:val="003D6821"/>
    <w:rsid w:val="003E42AB"/>
    <w:rsid w:val="003E5F3A"/>
    <w:rsid w:val="003F2F65"/>
    <w:rsid w:val="003F3719"/>
    <w:rsid w:val="003F5158"/>
    <w:rsid w:val="003F62B7"/>
    <w:rsid w:val="00403444"/>
    <w:rsid w:val="00415754"/>
    <w:rsid w:val="00420274"/>
    <w:rsid w:val="00422016"/>
    <w:rsid w:val="00425A9A"/>
    <w:rsid w:val="00430195"/>
    <w:rsid w:val="00436393"/>
    <w:rsid w:val="00440095"/>
    <w:rsid w:val="0044069F"/>
    <w:rsid w:val="0044112E"/>
    <w:rsid w:val="00454CAF"/>
    <w:rsid w:val="00456686"/>
    <w:rsid w:val="004578EE"/>
    <w:rsid w:val="004604B1"/>
    <w:rsid w:val="00466700"/>
    <w:rsid w:val="00473C8E"/>
    <w:rsid w:val="004853C2"/>
    <w:rsid w:val="00492DCE"/>
    <w:rsid w:val="004939B5"/>
    <w:rsid w:val="0049530B"/>
    <w:rsid w:val="004A3C8E"/>
    <w:rsid w:val="004C1298"/>
    <w:rsid w:val="004C5ED0"/>
    <w:rsid w:val="00502A2F"/>
    <w:rsid w:val="005040FF"/>
    <w:rsid w:val="0050433C"/>
    <w:rsid w:val="0050489F"/>
    <w:rsid w:val="00522766"/>
    <w:rsid w:val="00527508"/>
    <w:rsid w:val="00530A67"/>
    <w:rsid w:val="0053493C"/>
    <w:rsid w:val="0053781F"/>
    <w:rsid w:val="005412E4"/>
    <w:rsid w:val="005511A8"/>
    <w:rsid w:val="0055467F"/>
    <w:rsid w:val="00561A56"/>
    <w:rsid w:val="00565081"/>
    <w:rsid w:val="0057635E"/>
    <w:rsid w:val="00581CE2"/>
    <w:rsid w:val="00595B65"/>
    <w:rsid w:val="005A555C"/>
    <w:rsid w:val="005C4B3D"/>
    <w:rsid w:val="005D486D"/>
    <w:rsid w:val="005E5214"/>
    <w:rsid w:val="005E5984"/>
    <w:rsid w:val="005F2027"/>
    <w:rsid w:val="005F3678"/>
    <w:rsid w:val="005F75ED"/>
    <w:rsid w:val="0060394A"/>
    <w:rsid w:val="006124DB"/>
    <w:rsid w:val="00614C45"/>
    <w:rsid w:val="00625523"/>
    <w:rsid w:val="006416F4"/>
    <w:rsid w:val="006431F1"/>
    <w:rsid w:val="00653666"/>
    <w:rsid w:val="00656206"/>
    <w:rsid w:val="00660724"/>
    <w:rsid w:val="006624AB"/>
    <w:rsid w:val="00671116"/>
    <w:rsid w:val="00672D33"/>
    <w:rsid w:val="006730B0"/>
    <w:rsid w:val="00674A8C"/>
    <w:rsid w:val="006A5C5E"/>
    <w:rsid w:val="006B25B5"/>
    <w:rsid w:val="006E1EF5"/>
    <w:rsid w:val="006F527A"/>
    <w:rsid w:val="0070200D"/>
    <w:rsid w:val="00705E57"/>
    <w:rsid w:val="00711DC4"/>
    <w:rsid w:val="007444D2"/>
    <w:rsid w:val="007572B6"/>
    <w:rsid w:val="007A1B1F"/>
    <w:rsid w:val="007D1376"/>
    <w:rsid w:val="007E1727"/>
    <w:rsid w:val="007F79BB"/>
    <w:rsid w:val="008026AA"/>
    <w:rsid w:val="0081017D"/>
    <w:rsid w:val="00817488"/>
    <w:rsid w:val="00824636"/>
    <w:rsid w:val="008255DE"/>
    <w:rsid w:val="00841A9E"/>
    <w:rsid w:val="00841F4A"/>
    <w:rsid w:val="00844EE7"/>
    <w:rsid w:val="00854C46"/>
    <w:rsid w:val="00873554"/>
    <w:rsid w:val="00880C08"/>
    <w:rsid w:val="00883AAD"/>
    <w:rsid w:val="00896609"/>
    <w:rsid w:val="008A084D"/>
    <w:rsid w:val="008B7F59"/>
    <w:rsid w:val="008C7966"/>
    <w:rsid w:val="008D23AA"/>
    <w:rsid w:val="008D3F0D"/>
    <w:rsid w:val="008D5C02"/>
    <w:rsid w:val="008E469D"/>
    <w:rsid w:val="008E7AA8"/>
    <w:rsid w:val="008F74C4"/>
    <w:rsid w:val="009007D4"/>
    <w:rsid w:val="0091254D"/>
    <w:rsid w:val="009247A1"/>
    <w:rsid w:val="0094570E"/>
    <w:rsid w:val="00954A41"/>
    <w:rsid w:val="00960B22"/>
    <w:rsid w:val="009749F9"/>
    <w:rsid w:val="009758CD"/>
    <w:rsid w:val="00977C3F"/>
    <w:rsid w:val="00990C99"/>
    <w:rsid w:val="00991A50"/>
    <w:rsid w:val="009A3DEA"/>
    <w:rsid w:val="009B48D2"/>
    <w:rsid w:val="009B49CD"/>
    <w:rsid w:val="009B6C8F"/>
    <w:rsid w:val="009C36FD"/>
    <w:rsid w:val="009C743D"/>
    <w:rsid w:val="009D375B"/>
    <w:rsid w:val="009D378A"/>
    <w:rsid w:val="009E228A"/>
    <w:rsid w:val="00A00884"/>
    <w:rsid w:val="00A00D2C"/>
    <w:rsid w:val="00A037C7"/>
    <w:rsid w:val="00A13576"/>
    <w:rsid w:val="00A142C3"/>
    <w:rsid w:val="00A1437D"/>
    <w:rsid w:val="00A225DF"/>
    <w:rsid w:val="00A27F42"/>
    <w:rsid w:val="00A37498"/>
    <w:rsid w:val="00A426A5"/>
    <w:rsid w:val="00A42F13"/>
    <w:rsid w:val="00A4532E"/>
    <w:rsid w:val="00A47689"/>
    <w:rsid w:val="00A6361F"/>
    <w:rsid w:val="00A725AF"/>
    <w:rsid w:val="00A75CFC"/>
    <w:rsid w:val="00A93CC1"/>
    <w:rsid w:val="00A95E3A"/>
    <w:rsid w:val="00AA3F20"/>
    <w:rsid w:val="00AB3DAE"/>
    <w:rsid w:val="00AC1008"/>
    <w:rsid w:val="00AD43CC"/>
    <w:rsid w:val="00AD4FAC"/>
    <w:rsid w:val="00AE1D46"/>
    <w:rsid w:val="00AE3507"/>
    <w:rsid w:val="00B02092"/>
    <w:rsid w:val="00B02A05"/>
    <w:rsid w:val="00B02DD7"/>
    <w:rsid w:val="00B042E8"/>
    <w:rsid w:val="00B068A8"/>
    <w:rsid w:val="00B10C07"/>
    <w:rsid w:val="00B224B6"/>
    <w:rsid w:val="00B22E3F"/>
    <w:rsid w:val="00B32F73"/>
    <w:rsid w:val="00B342B1"/>
    <w:rsid w:val="00B37F5A"/>
    <w:rsid w:val="00B4235C"/>
    <w:rsid w:val="00B46191"/>
    <w:rsid w:val="00B46D48"/>
    <w:rsid w:val="00B6023E"/>
    <w:rsid w:val="00B6034C"/>
    <w:rsid w:val="00B60ED1"/>
    <w:rsid w:val="00B62A78"/>
    <w:rsid w:val="00B728A1"/>
    <w:rsid w:val="00B742AF"/>
    <w:rsid w:val="00B80515"/>
    <w:rsid w:val="00B8112C"/>
    <w:rsid w:val="00B87775"/>
    <w:rsid w:val="00B93D96"/>
    <w:rsid w:val="00BA21C5"/>
    <w:rsid w:val="00BD1C8D"/>
    <w:rsid w:val="00BD3733"/>
    <w:rsid w:val="00BD6FF4"/>
    <w:rsid w:val="00BE410C"/>
    <w:rsid w:val="00BF0F1B"/>
    <w:rsid w:val="00BF7C6E"/>
    <w:rsid w:val="00C16DDC"/>
    <w:rsid w:val="00C21C1C"/>
    <w:rsid w:val="00C22265"/>
    <w:rsid w:val="00C270FF"/>
    <w:rsid w:val="00C277CE"/>
    <w:rsid w:val="00C31727"/>
    <w:rsid w:val="00C51C2A"/>
    <w:rsid w:val="00C5533D"/>
    <w:rsid w:val="00C74F8E"/>
    <w:rsid w:val="00C769CD"/>
    <w:rsid w:val="00C863E2"/>
    <w:rsid w:val="00C9472F"/>
    <w:rsid w:val="00CA791D"/>
    <w:rsid w:val="00CC057E"/>
    <w:rsid w:val="00CC3628"/>
    <w:rsid w:val="00CD2528"/>
    <w:rsid w:val="00CE24EE"/>
    <w:rsid w:val="00CE2E66"/>
    <w:rsid w:val="00CF070A"/>
    <w:rsid w:val="00CF088C"/>
    <w:rsid w:val="00D0108C"/>
    <w:rsid w:val="00D13AC0"/>
    <w:rsid w:val="00D172FE"/>
    <w:rsid w:val="00D200BF"/>
    <w:rsid w:val="00D21BC2"/>
    <w:rsid w:val="00D47CA9"/>
    <w:rsid w:val="00D57D30"/>
    <w:rsid w:val="00D6768F"/>
    <w:rsid w:val="00D7332A"/>
    <w:rsid w:val="00D844B2"/>
    <w:rsid w:val="00D87258"/>
    <w:rsid w:val="00D96DDF"/>
    <w:rsid w:val="00DA07CA"/>
    <w:rsid w:val="00DB099B"/>
    <w:rsid w:val="00DB7248"/>
    <w:rsid w:val="00DD0C4D"/>
    <w:rsid w:val="00DE1A4A"/>
    <w:rsid w:val="00DE3706"/>
    <w:rsid w:val="00DE5909"/>
    <w:rsid w:val="00DE7652"/>
    <w:rsid w:val="00DF032D"/>
    <w:rsid w:val="00DF5ED9"/>
    <w:rsid w:val="00E026E0"/>
    <w:rsid w:val="00E046B3"/>
    <w:rsid w:val="00E062B8"/>
    <w:rsid w:val="00E347E9"/>
    <w:rsid w:val="00E40301"/>
    <w:rsid w:val="00E4493B"/>
    <w:rsid w:val="00E45724"/>
    <w:rsid w:val="00E45886"/>
    <w:rsid w:val="00E547D4"/>
    <w:rsid w:val="00E63F35"/>
    <w:rsid w:val="00E642BD"/>
    <w:rsid w:val="00E64AD3"/>
    <w:rsid w:val="00E65B61"/>
    <w:rsid w:val="00E75D3A"/>
    <w:rsid w:val="00E80CFF"/>
    <w:rsid w:val="00E8177A"/>
    <w:rsid w:val="00E8192D"/>
    <w:rsid w:val="00E940DC"/>
    <w:rsid w:val="00E94A62"/>
    <w:rsid w:val="00EB211C"/>
    <w:rsid w:val="00EB65C0"/>
    <w:rsid w:val="00EC03B6"/>
    <w:rsid w:val="00ED47C2"/>
    <w:rsid w:val="00ED6EF3"/>
    <w:rsid w:val="00ED7EAB"/>
    <w:rsid w:val="00EE51C9"/>
    <w:rsid w:val="00EF1655"/>
    <w:rsid w:val="00EF1CB2"/>
    <w:rsid w:val="00EF2216"/>
    <w:rsid w:val="00EF57CD"/>
    <w:rsid w:val="00F10A09"/>
    <w:rsid w:val="00F20699"/>
    <w:rsid w:val="00F257CE"/>
    <w:rsid w:val="00F35BE5"/>
    <w:rsid w:val="00F378C4"/>
    <w:rsid w:val="00F4191B"/>
    <w:rsid w:val="00F43BA1"/>
    <w:rsid w:val="00F468D1"/>
    <w:rsid w:val="00F62922"/>
    <w:rsid w:val="00F64DDA"/>
    <w:rsid w:val="00F7461E"/>
    <w:rsid w:val="00F84528"/>
    <w:rsid w:val="00F8489A"/>
    <w:rsid w:val="00F84D66"/>
    <w:rsid w:val="00F93AF8"/>
    <w:rsid w:val="00F96724"/>
    <w:rsid w:val="00F96D0F"/>
    <w:rsid w:val="00F96D5C"/>
    <w:rsid w:val="00FA2C3C"/>
    <w:rsid w:val="00FA5606"/>
    <w:rsid w:val="00FA5A4C"/>
    <w:rsid w:val="00FA7A69"/>
    <w:rsid w:val="00FD1EEE"/>
    <w:rsid w:val="00FE13EC"/>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link w:val="ListParagraphChar"/>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ListParagraphChar">
    <w:name w:val="List Paragraph Char"/>
    <w:basedOn w:val="DefaultParagraphFont"/>
    <w:link w:val="ListParagraph"/>
    <w:uiPriority w:val="34"/>
    <w:locked/>
    <w:rsid w:val="00ED7E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pde.158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147/CCIDE.S4927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3325/cmj.2024.65.403" TargetMode="External"/><Relationship Id="rId4" Type="http://schemas.openxmlformats.org/officeDocument/2006/relationships/webSettings" Target="webSettings.xml"/><Relationship Id="rId9" Type="http://schemas.openxmlformats.org/officeDocument/2006/relationships/hyperlink" Target="https://doi.org/10.1186/s12912-024-023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983</Words>
  <Characters>5607</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2024-02-09T16:01:00Z</dcterms:created>
  <dcterms:modified xsi:type="dcterms:W3CDTF">2025-08-13T19:10:00Z</dcterms:modified>
</cp:coreProperties>
</file>