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7DCD" w14:textId="77777777" w:rsidR="00F468D1" w:rsidRPr="007E1727" w:rsidRDefault="00F468D1" w:rsidP="00C42A69">
      <w:pPr>
        <w:spacing w:line="480" w:lineRule="auto"/>
        <w:ind w:firstLine="720"/>
        <w:jc w:val="center"/>
        <w:rPr>
          <w:b/>
          <w:bCs/>
        </w:rPr>
      </w:pPr>
    </w:p>
    <w:p w14:paraId="09AA434B" w14:textId="77777777" w:rsidR="00F468D1" w:rsidRPr="007E1727" w:rsidRDefault="00F468D1" w:rsidP="00C42A69">
      <w:pPr>
        <w:spacing w:line="480" w:lineRule="auto"/>
        <w:ind w:firstLine="720"/>
        <w:jc w:val="center"/>
        <w:rPr>
          <w:b/>
          <w:bCs/>
        </w:rPr>
      </w:pPr>
    </w:p>
    <w:p w14:paraId="466FA396" w14:textId="77777777" w:rsidR="00F468D1" w:rsidRPr="007E1727" w:rsidRDefault="00F468D1" w:rsidP="00C42A69">
      <w:pPr>
        <w:spacing w:line="480" w:lineRule="auto"/>
        <w:ind w:firstLine="720"/>
        <w:jc w:val="center"/>
        <w:rPr>
          <w:b/>
          <w:bCs/>
        </w:rPr>
      </w:pPr>
    </w:p>
    <w:p w14:paraId="0D8CF4B9" w14:textId="77777777" w:rsidR="00F468D1" w:rsidRPr="007E1727" w:rsidRDefault="00F468D1" w:rsidP="00C42A69">
      <w:pPr>
        <w:spacing w:line="480" w:lineRule="auto"/>
        <w:ind w:firstLine="720"/>
        <w:jc w:val="center"/>
        <w:rPr>
          <w:b/>
          <w:bCs/>
        </w:rPr>
      </w:pPr>
    </w:p>
    <w:p w14:paraId="253C824D" w14:textId="7F4649E4" w:rsidR="00286395" w:rsidRPr="007E1727" w:rsidRDefault="0079639B" w:rsidP="00C42A69">
      <w:pPr>
        <w:spacing w:line="480" w:lineRule="auto"/>
        <w:jc w:val="center"/>
        <w:rPr>
          <w:b/>
          <w:bCs/>
        </w:rPr>
      </w:pPr>
      <w:r>
        <w:rPr>
          <w:b/>
          <w:bCs/>
        </w:rPr>
        <w:t>ACC501</w:t>
      </w:r>
      <w:r w:rsidR="004C5ED0">
        <w:rPr>
          <w:b/>
          <w:bCs/>
        </w:rPr>
        <w:t xml:space="preserve"> </w:t>
      </w:r>
      <w:r w:rsidR="00C42A69">
        <w:rPr>
          <w:b/>
          <w:bCs/>
        </w:rPr>
        <w:t>Case 2</w:t>
      </w:r>
    </w:p>
    <w:p w14:paraId="215330E4" w14:textId="77777777" w:rsidR="00286395" w:rsidRPr="007E1727" w:rsidRDefault="00286395" w:rsidP="00C42A69">
      <w:pPr>
        <w:spacing w:line="480" w:lineRule="auto"/>
        <w:ind w:firstLine="720"/>
        <w:jc w:val="center"/>
      </w:pPr>
    </w:p>
    <w:p w14:paraId="0C9670E1" w14:textId="77777777" w:rsidR="00454CAF" w:rsidRPr="007E1727" w:rsidRDefault="00454CAF" w:rsidP="00C42A69">
      <w:pPr>
        <w:spacing w:line="480" w:lineRule="auto"/>
        <w:jc w:val="center"/>
      </w:pPr>
      <w:r w:rsidRPr="007E1727">
        <w:t>Your Name</w:t>
      </w:r>
    </w:p>
    <w:p w14:paraId="02750D95" w14:textId="77777777" w:rsidR="00454CAF" w:rsidRPr="007E1727" w:rsidRDefault="00454CAF" w:rsidP="00C42A69">
      <w:pPr>
        <w:spacing w:line="480" w:lineRule="auto"/>
        <w:jc w:val="center"/>
      </w:pPr>
      <w:r w:rsidRPr="007E1727">
        <w:t xml:space="preserve">Trident University International </w:t>
      </w:r>
    </w:p>
    <w:p w14:paraId="27BBC8F8" w14:textId="6A19A1E4" w:rsidR="0079639B" w:rsidRDefault="0079639B" w:rsidP="00C42A69">
      <w:pPr>
        <w:spacing w:line="480" w:lineRule="auto"/>
        <w:jc w:val="center"/>
      </w:pPr>
      <w:r w:rsidRPr="0079639B">
        <w:t xml:space="preserve">ACC501 Accounting for Decision Making </w:t>
      </w:r>
    </w:p>
    <w:p w14:paraId="54C389E1" w14:textId="7498DF4F" w:rsidR="00844EE7" w:rsidRPr="007E1727" w:rsidRDefault="00454CAF" w:rsidP="00C42A69">
      <w:pPr>
        <w:spacing w:line="480" w:lineRule="auto"/>
        <w:jc w:val="center"/>
      </w:pPr>
      <w:r w:rsidRPr="007E1727">
        <w:t>Due Date</w:t>
      </w:r>
    </w:p>
    <w:p w14:paraId="6C8D5EF8" w14:textId="56D46919" w:rsidR="003C7F15" w:rsidRPr="007E1727" w:rsidRDefault="00352E8D" w:rsidP="00C42A69">
      <w:pPr>
        <w:spacing w:line="480" w:lineRule="auto"/>
        <w:rPr>
          <w:b/>
          <w:bCs/>
        </w:rPr>
      </w:pPr>
      <w:r w:rsidRPr="007E1727">
        <w:br w:type="page"/>
      </w:r>
    </w:p>
    <w:p w14:paraId="1DF862F2" w14:textId="182A7CD7" w:rsidR="00D200BF" w:rsidRDefault="00A00836" w:rsidP="00C42A69">
      <w:pPr>
        <w:spacing w:line="480" w:lineRule="auto"/>
        <w:jc w:val="center"/>
        <w:rPr>
          <w:b/>
          <w:bCs/>
        </w:rPr>
      </w:pPr>
      <w:r>
        <w:rPr>
          <w:b/>
          <w:bCs/>
        </w:rPr>
        <w:lastRenderedPageBreak/>
        <w:t>Introduction</w:t>
      </w:r>
    </w:p>
    <w:p w14:paraId="118C60FA" w14:textId="2E12E25F" w:rsidR="00FD309C" w:rsidRPr="00FD309C" w:rsidRDefault="00FD309C" w:rsidP="00F310CD">
      <w:pPr>
        <w:spacing w:line="480" w:lineRule="auto"/>
        <w:jc w:val="both"/>
      </w:pPr>
      <w:r w:rsidRPr="00FD309C">
        <w:tab/>
        <w:t>Th</w:t>
      </w:r>
      <w:r>
        <w:t xml:space="preserve">e report deals with the </w:t>
      </w:r>
      <w:r w:rsidRPr="00FD309C">
        <w:t>cost analysis in a small sports-themed clothing manufacturing business, focusing on volume discounts, product discontinuation, and make-or-buy decisions</w:t>
      </w:r>
      <w:r>
        <w:t xml:space="preserve"> such as</w:t>
      </w:r>
      <w:r w:rsidRPr="00FD309C">
        <w:t xml:space="preserve"> integrating accounting data with strategic considerations. </w:t>
      </w:r>
      <w:r>
        <w:t xml:space="preserve">It also tends to </w:t>
      </w:r>
      <w:r w:rsidRPr="00FD309C">
        <w:t>evaluate how pricing strategies, operational choices, and product portfolio adjustments influence profitability and long-term competitiveness</w:t>
      </w:r>
      <w:r w:rsidR="00EB1AC1">
        <w:t xml:space="preserve"> </w:t>
      </w:r>
      <w:r w:rsidR="00EB1AC1" w:rsidRPr="00EB1AC1">
        <w:t>(Brunner et al., 2025)</w:t>
      </w:r>
      <w:r w:rsidRPr="00FD309C">
        <w:t xml:space="preserve">. </w:t>
      </w:r>
      <w:r>
        <w:t xml:space="preserve">Based on the </w:t>
      </w:r>
      <w:r w:rsidRPr="00FD309C">
        <w:t xml:space="preserve">study </w:t>
      </w:r>
      <w:r>
        <w:t xml:space="preserve">which tends to </w:t>
      </w:r>
      <w:r w:rsidRPr="00FD309C">
        <w:t>apply variable costing methods to assess contribution margins, guide decision-making, and mitigate financial and operational risks</w:t>
      </w:r>
      <w:r w:rsidR="00EB1AC1">
        <w:t xml:space="preserve"> </w:t>
      </w:r>
      <w:r w:rsidR="00EB1AC1" w:rsidRPr="00EB1AC1">
        <w:t xml:space="preserve">(Silva, </w:t>
      </w:r>
      <w:proofErr w:type="spellStart"/>
      <w:r w:rsidR="00EB1AC1" w:rsidRPr="00EB1AC1">
        <w:t>França</w:t>
      </w:r>
      <w:proofErr w:type="spellEnd"/>
      <w:r w:rsidR="00EB1AC1" w:rsidRPr="00EB1AC1">
        <w:t xml:space="preserve"> &amp; Neto, 2024)</w:t>
      </w:r>
      <w:r w:rsidRPr="00FD309C">
        <w:t>.</w:t>
      </w:r>
    </w:p>
    <w:p w14:paraId="428ECC50" w14:textId="51711FA6" w:rsidR="00FD309C" w:rsidRPr="007E1727" w:rsidRDefault="00FD309C" w:rsidP="00FD309C">
      <w:pPr>
        <w:spacing w:line="480" w:lineRule="auto"/>
        <w:rPr>
          <w:b/>
          <w:bCs/>
        </w:rPr>
      </w:pPr>
    </w:p>
    <w:p w14:paraId="34BFAF17" w14:textId="77777777" w:rsidR="00C42A69" w:rsidRPr="00835D81" w:rsidRDefault="00C42A69" w:rsidP="00C42A69">
      <w:pPr>
        <w:spacing w:line="480" w:lineRule="auto"/>
        <w:jc w:val="center"/>
        <w:rPr>
          <w:b/>
          <w:bCs/>
        </w:rPr>
      </w:pPr>
      <w:bookmarkStart w:id="0" w:name="_Hlk158375419"/>
      <w:r w:rsidRPr="00835D81">
        <w:rPr>
          <w:b/>
          <w:bCs/>
        </w:rPr>
        <w:t>Defining the Concepts</w:t>
      </w:r>
    </w:p>
    <w:p w14:paraId="732FDB22" w14:textId="066B2AE0" w:rsidR="00FD309C" w:rsidRPr="004B05D7" w:rsidRDefault="00FD309C" w:rsidP="00F310CD">
      <w:pPr>
        <w:spacing w:line="480" w:lineRule="auto"/>
        <w:jc w:val="both"/>
      </w:pPr>
      <w:r w:rsidRPr="004B05D7">
        <w:tab/>
      </w:r>
      <w:r w:rsidR="004B05D7" w:rsidRPr="004B05D7">
        <w:t>It is evident from the different studies that the l</w:t>
      </w:r>
      <w:r w:rsidRPr="004B05D7">
        <w:t xml:space="preserve">arge-quantity price reductions—such as volume or bulk discounts—are a form of second-degree price discrimination, where firms offer declining per-unit prices as purchase quantity increases, encouraging customers to self-select into higher-volume tiers. </w:t>
      </w:r>
      <w:r w:rsidR="004B05D7">
        <w:t>Based on t</w:t>
      </w:r>
      <w:r w:rsidRPr="004B05D7">
        <w:t xml:space="preserve">his approach </w:t>
      </w:r>
      <w:r w:rsidR="004B05D7">
        <w:t xml:space="preserve">which </w:t>
      </w:r>
      <w:r w:rsidRPr="004B05D7">
        <w:t>helps businesses capture more consumer surplus and maximize revenue, particularly when buyers’ marginal utility diminishes with each additional unit.</w:t>
      </w:r>
      <w:r w:rsidR="004B05D7">
        <w:t xml:space="preserve"> One of the major examples tends to contain offering</w:t>
      </w:r>
      <w:r w:rsidRPr="004B05D7">
        <w:t xml:space="preserve"> price breaks on larger clothing orders allows the sports-themed apparel manufacturer to increase sales volume while </w:t>
      </w:r>
      <w:r w:rsidR="004B05D7" w:rsidRPr="004B05D7">
        <w:t>fully</w:t>
      </w:r>
      <w:r w:rsidRPr="004B05D7">
        <w:t xml:space="preserve"> utilizing production capacity</w:t>
      </w:r>
      <w:r w:rsidR="00EB1AC1">
        <w:t xml:space="preserve"> </w:t>
      </w:r>
      <w:r w:rsidR="00EB1AC1" w:rsidRPr="00EB1AC1">
        <w:t>(Brunner et al., 2025)</w:t>
      </w:r>
      <w:r w:rsidRPr="004B05D7">
        <w:t xml:space="preserve">. </w:t>
      </w:r>
      <w:r w:rsidR="004B05D7">
        <w:t xml:space="preserve">As per the </w:t>
      </w:r>
      <w:r w:rsidRPr="004B05D7">
        <w:t>accounting perspective, the strategy lowers variable cost per unit through economies of scale and enhances contribution margin—provided that the discounted price still exceeds the variable cost and contributes to fixed cost coverage</w:t>
      </w:r>
      <w:r w:rsidR="00EB1AC1">
        <w:t xml:space="preserve"> </w:t>
      </w:r>
      <w:r w:rsidR="00EB1AC1" w:rsidRPr="00EB1AC1">
        <w:t xml:space="preserve">(Silva, </w:t>
      </w:r>
      <w:proofErr w:type="spellStart"/>
      <w:r w:rsidR="00EB1AC1" w:rsidRPr="00EB1AC1">
        <w:t>França</w:t>
      </w:r>
      <w:proofErr w:type="spellEnd"/>
      <w:r w:rsidR="00EB1AC1" w:rsidRPr="00EB1AC1">
        <w:t xml:space="preserve"> &amp; Neto, 2024)</w:t>
      </w:r>
      <w:r w:rsidRPr="004B05D7">
        <w:t xml:space="preserve">. </w:t>
      </w:r>
      <w:r w:rsidR="004B05D7">
        <w:t xml:space="preserve">However, it also </w:t>
      </w:r>
      <w:r w:rsidR="00695B8D">
        <w:t>comprises</w:t>
      </w:r>
      <w:r w:rsidR="004B05D7">
        <w:t xml:space="preserve"> certain </w:t>
      </w:r>
      <w:r w:rsidR="004B05D7" w:rsidRPr="004B05D7">
        <w:t>advantages</w:t>
      </w:r>
      <w:r w:rsidRPr="004B05D7">
        <w:t xml:space="preserve"> </w:t>
      </w:r>
      <w:r w:rsidR="004B05D7">
        <w:t xml:space="preserve">which </w:t>
      </w:r>
      <w:r w:rsidR="00695B8D" w:rsidRPr="004B05D7">
        <w:t>are</w:t>
      </w:r>
      <w:r w:rsidRPr="004B05D7">
        <w:t xml:space="preserve"> </w:t>
      </w:r>
      <w:r w:rsidR="004B05D7">
        <w:t xml:space="preserve">to </w:t>
      </w:r>
      <w:r w:rsidRPr="004B05D7">
        <w:t>improv</w:t>
      </w:r>
      <w:r w:rsidR="004B05D7">
        <w:t>e</w:t>
      </w:r>
      <w:r w:rsidRPr="004B05D7">
        <w:t xml:space="preserve"> inventory turnover and reduced holding costs when large orders are processed efficiently</w:t>
      </w:r>
      <w:r w:rsidR="004B05D7">
        <w:t xml:space="preserve"> and on the basis of that </w:t>
      </w:r>
      <w:r w:rsidRPr="004B05D7">
        <w:t xml:space="preserve">there are potential pitfalls: excessive discounts can erode profit margins, devalue </w:t>
      </w:r>
      <w:r w:rsidRPr="004B05D7">
        <w:lastRenderedPageBreak/>
        <w:t>the brand, and trigger competitive responses</w:t>
      </w:r>
      <w:r w:rsidR="00EB1AC1">
        <w:t xml:space="preserve"> </w:t>
      </w:r>
      <w:r w:rsidR="00EB1AC1" w:rsidRPr="00EB1AC1">
        <w:t xml:space="preserve">(Silva, </w:t>
      </w:r>
      <w:proofErr w:type="spellStart"/>
      <w:r w:rsidR="00EB1AC1" w:rsidRPr="00EB1AC1">
        <w:t>França</w:t>
      </w:r>
      <w:proofErr w:type="spellEnd"/>
      <w:r w:rsidR="00EB1AC1" w:rsidRPr="00EB1AC1">
        <w:t xml:space="preserve"> &amp; Neto, 2024)</w:t>
      </w:r>
      <w:r w:rsidRPr="004B05D7">
        <w:t xml:space="preserve">. </w:t>
      </w:r>
      <w:r w:rsidR="00695B8D">
        <w:t xml:space="preserve">On the other hand, in this regard, </w:t>
      </w:r>
      <w:r w:rsidRPr="004B05D7">
        <w:t xml:space="preserve">if not offered transparently to all qualified buyers, volume discounts could raise legal concerns—especially under U.S. law, such as the Robinson–Patman Act, which prohibits discriminatory pricing practices that favor some buyers over others. </w:t>
      </w:r>
      <w:r w:rsidR="00695B8D">
        <w:t xml:space="preserve">Despite the various factors, </w:t>
      </w:r>
      <w:r w:rsidRPr="004B05D7">
        <w:t>second-degree price discrimination through large-quantity discounts can strategically enhance profitability and operational efficiency, it must be implemented carefully, ensuring discounts still safeguard contribution margin and comply with pricing regulations</w:t>
      </w:r>
      <w:r w:rsidR="00EB1AC1">
        <w:t xml:space="preserve"> </w:t>
      </w:r>
      <w:r w:rsidR="00EB1AC1" w:rsidRPr="00EB1AC1">
        <w:t>(Brunner et al., 2025)</w:t>
      </w:r>
      <w:r w:rsidRPr="004B05D7">
        <w:t>.</w:t>
      </w:r>
    </w:p>
    <w:p w14:paraId="74E6D371" w14:textId="2FE2B09E" w:rsidR="00FD309C" w:rsidRPr="00695B8D" w:rsidRDefault="00FD309C" w:rsidP="00F310CD">
      <w:pPr>
        <w:spacing w:line="480" w:lineRule="auto"/>
        <w:jc w:val="both"/>
      </w:pPr>
      <w:r w:rsidRPr="00695B8D">
        <w:tab/>
      </w:r>
      <w:r w:rsidR="00695B8D" w:rsidRPr="00695B8D">
        <w:t>In accordance with the d</w:t>
      </w:r>
      <w:r w:rsidRPr="00695B8D">
        <w:t xml:space="preserve">iscontinuing a product in a small sports-themed clothing business can reshape the landscape across operations, finance, and customer relations. </w:t>
      </w:r>
      <w:r w:rsidR="00695B8D">
        <w:t xml:space="preserve">As per the </w:t>
      </w:r>
      <w:r w:rsidRPr="00695B8D">
        <w:t xml:space="preserve">supply chain standpoint, removing a product may disrupt vendor relationships, reduce economies of scale, and require renegotiation of supplier contracts or material commitments. </w:t>
      </w:r>
      <w:r w:rsidR="00695B8D">
        <w:t>It is important to understand that f</w:t>
      </w:r>
      <w:r w:rsidRPr="00695B8D">
        <w:t>inancially, discontinuation entails immediate lost sales and contribution margin, possible inventory write-offs, and potential restructuring expenses; managers must weigh these against cost savings in avoidable fixed costs</w:t>
      </w:r>
      <w:r w:rsidR="00EB1AC1">
        <w:t xml:space="preserve"> </w:t>
      </w:r>
      <w:r w:rsidR="00EB1AC1" w:rsidRPr="00EB1AC1">
        <w:t>(Senanayake et al., 2025)</w:t>
      </w:r>
      <w:r w:rsidRPr="00695B8D">
        <w:t xml:space="preserve">. </w:t>
      </w:r>
      <w:r w:rsidR="00695B8D">
        <w:t xml:space="preserve">It also tends to </w:t>
      </w:r>
      <w:proofErr w:type="spellStart"/>
      <w:r w:rsidR="00695B8D">
        <w:t>analysed</w:t>
      </w:r>
      <w:proofErr w:type="spellEnd"/>
      <w:r w:rsidR="00695B8D">
        <w:t xml:space="preserve"> that </w:t>
      </w:r>
      <w:r w:rsidRPr="00695B8D">
        <w:t xml:space="preserve">CFOs must also incorporate these shifts into long-term financial planning, as supply chain instability can significantly affect profitability and forecasting accuracy. </w:t>
      </w:r>
      <w:r w:rsidR="00695B8D">
        <w:t>So, on the basis of that s</w:t>
      </w:r>
      <w:r w:rsidRPr="00695B8D">
        <w:t>trategically, discontinuation enables resource reallocation to more profitable items—which may improve overall margins—but risks alienating loyal customers, especially if the discontinued item held sentimental or aesthetic value</w:t>
      </w:r>
      <w:r w:rsidR="00EB1AC1">
        <w:t xml:space="preserve"> </w:t>
      </w:r>
      <w:r w:rsidR="00EB1AC1" w:rsidRPr="00EB1AC1">
        <w:t>(Senanayake et al., 2025)</w:t>
      </w:r>
      <w:r w:rsidRPr="00695B8D">
        <w:t xml:space="preserve">. </w:t>
      </w:r>
      <w:r w:rsidR="00695B8D">
        <w:t>It is important to understand that in order t</w:t>
      </w:r>
      <w:r w:rsidRPr="00695B8D">
        <w:t>o mitigate this, businesses might adopt phased withdrawal strategies, introduce replacement or substitute items, or communicate proactively with customers to preserve loyalty</w:t>
      </w:r>
      <w:r w:rsidR="00695B8D">
        <w:t xml:space="preserve"> such as b</w:t>
      </w:r>
      <w:r w:rsidRPr="00695B8D">
        <w:t xml:space="preserve">y coordinating across disciplines—operations, finance, and marketing—the firm can carefully </w:t>
      </w:r>
      <w:r w:rsidRPr="00695B8D">
        <w:lastRenderedPageBreak/>
        <w:t>manage the trade-offs of product discontinuation, ensuring the move enhances long-term profitability without damaging supplier networks or customer goodwill</w:t>
      </w:r>
      <w:r w:rsidR="00EB1AC1">
        <w:t xml:space="preserve"> </w:t>
      </w:r>
      <w:r w:rsidR="00EB1AC1" w:rsidRPr="00EB1AC1">
        <w:t>(Brunner et al., 2025)</w:t>
      </w:r>
      <w:r w:rsidRPr="00695B8D">
        <w:t>.</w:t>
      </w:r>
    </w:p>
    <w:p w14:paraId="784BA56D" w14:textId="72A6FA80" w:rsidR="00FD309C" w:rsidRPr="00FD309C" w:rsidRDefault="00FD309C" w:rsidP="00F310CD">
      <w:pPr>
        <w:spacing w:line="480" w:lineRule="auto"/>
        <w:jc w:val="both"/>
      </w:pPr>
      <w:r>
        <w:tab/>
      </w:r>
      <w:r w:rsidR="00695B8D">
        <w:t xml:space="preserve">It tends to be based on </w:t>
      </w:r>
      <w:r w:rsidRPr="00FD309C">
        <w:rPr>
          <w:b/>
          <w:bCs/>
        </w:rPr>
        <w:t xml:space="preserve">make-or-buy </w:t>
      </w:r>
      <w:r w:rsidR="00695B8D" w:rsidRPr="00FD309C">
        <w:rPr>
          <w:b/>
          <w:bCs/>
        </w:rPr>
        <w:t>decisions</w:t>
      </w:r>
      <w:r w:rsidRPr="00FD309C">
        <w:t xml:space="preserve"> </w:t>
      </w:r>
      <w:r w:rsidR="00695B8D">
        <w:t xml:space="preserve">which </w:t>
      </w:r>
      <w:r w:rsidRPr="00FD309C">
        <w:t>requires a firm to determine whether to produce goods in-house or outsource them—a core strategic decision impacting cost structure, quality control, and operational flexibility</w:t>
      </w:r>
      <w:r w:rsidR="00EB1AC1">
        <w:t xml:space="preserve"> </w:t>
      </w:r>
      <w:r w:rsidR="00EB1AC1" w:rsidRPr="00EB1AC1">
        <w:t>(Senanayake et al., 2025)</w:t>
      </w:r>
      <w:r w:rsidRPr="00FD309C">
        <w:t>.</w:t>
      </w:r>
      <w:r w:rsidR="00695B8D">
        <w:t xml:space="preserve"> As per the </w:t>
      </w:r>
      <w:r w:rsidRPr="00FD309C">
        <w:t xml:space="preserve">accounting standpoint, the analysis entails comparing relevant costs: internal manufacturing includes direct materials, direct labor, variable and avoidable fixed overheads, while outsourcing entails purchase price, shipping, storage, and potential contract costs. </w:t>
      </w:r>
      <w:r w:rsidR="00695B8D">
        <w:t>According to certain b</w:t>
      </w:r>
      <w:r w:rsidRPr="00FD309C">
        <w:t xml:space="preserve">usinesses </w:t>
      </w:r>
      <w:r w:rsidR="00695B8D">
        <w:t xml:space="preserve">which </w:t>
      </w:r>
      <w:r w:rsidRPr="00FD309C">
        <w:t>also consider capacity utilization, core competencies, and long-term strategic positioning—outsourcing may reduce costs and simplify operations but could compromise quality control, lead times, and supply chain resilience</w:t>
      </w:r>
      <w:r w:rsidR="00EB1AC1">
        <w:t xml:space="preserve"> </w:t>
      </w:r>
      <w:r w:rsidR="00EB1AC1" w:rsidRPr="00EB1AC1">
        <w:t>(Senanayake et al., 2025)</w:t>
      </w:r>
      <w:r w:rsidRPr="00FD309C">
        <w:t xml:space="preserve">. </w:t>
      </w:r>
      <w:r w:rsidR="00695B8D">
        <w:t>However, one of the major and r</w:t>
      </w:r>
      <w:r w:rsidRPr="00FD309C">
        <w:t xml:space="preserve">ecent literature reaffirms classic transaction cost theory, emphasizing governance, asset specificity, and vertical integration as key drivers in make-or-buy choices. </w:t>
      </w:r>
      <w:r w:rsidR="00695B8D">
        <w:t>As per the o</w:t>
      </w:r>
      <w:r w:rsidR="00695B8D" w:rsidRPr="00FD309C">
        <w:t>peration</w:t>
      </w:r>
      <w:r w:rsidRPr="00FD309C">
        <w:t>, outsourcing can streamline production cycles and improve quoting speed, boosting revenue potential in agile environments</w:t>
      </w:r>
      <w:r w:rsidR="00EB1AC1">
        <w:t xml:space="preserve"> </w:t>
      </w:r>
      <w:r w:rsidR="00EB1AC1" w:rsidRPr="00EB1AC1">
        <w:t>(Brunner et al., 2025)</w:t>
      </w:r>
      <w:r w:rsidRPr="00FD309C">
        <w:t>.</w:t>
      </w:r>
    </w:p>
    <w:p w14:paraId="267B2297" w14:textId="0DF6AF0D" w:rsidR="00C42A69" w:rsidRPr="00835D81" w:rsidRDefault="00C42A69" w:rsidP="00FD309C">
      <w:pPr>
        <w:spacing w:line="480" w:lineRule="auto"/>
      </w:pPr>
    </w:p>
    <w:p w14:paraId="5CEAC987" w14:textId="77777777" w:rsidR="00C42A69" w:rsidRDefault="00C42A69" w:rsidP="00C42A69">
      <w:pPr>
        <w:spacing w:line="480" w:lineRule="auto"/>
        <w:jc w:val="center"/>
        <w:rPr>
          <w:b/>
          <w:bCs/>
        </w:rPr>
      </w:pPr>
      <w:r w:rsidRPr="00835D81">
        <w:rPr>
          <w:b/>
          <w:bCs/>
        </w:rPr>
        <w:t>Product Table</w:t>
      </w:r>
    </w:p>
    <w:tbl>
      <w:tblPr>
        <w:tblStyle w:val="TableGrid"/>
        <w:tblW w:w="5000" w:type="pct"/>
        <w:tblLook w:val="04A0" w:firstRow="1" w:lastRow="0" w:firstColumn="1" w:lastColumn="0" w:noHBand="0" w:noVBand="1"/>
      </w:tblPr>
      <w:tblGrid>
        <w:gridCol w:w="1925"/>
        <w:gridCol w:w="1510"/>
        <w:gridCol w:w="1644"/>
        <w:gridCol w:w="3029"/>
        <w:gridCol w:w="1242"/>
      </w:tblGrid>
      <w:tr w:rsidR="00FD309C" w:rsidRPr="00FD309C" w14:paraId="2E384987" w14:textId="77777777" w:rsidTr="00FD309C">
        <w:tc>
          <w:tcPr>
            <w:tcW w:w="1029" w:type="pct"/>
            <w:hideMark/>
          </w:tcPr>
          <w:p w14:paraId="41963F7A" w14:textId="77777777" w:rsidR="00FD309C" w:rsidRPr="00FD309C" w:rsidRDefault="00FD309C" w:rsidP="00FD309C">
            <w:pPr>
              <w:spacing w:line="480" w:lineRule="auto"/>
            </w:pPr>
            <w:r w:rsidRPr="00FD309C">
              <w:t>Product</w:t>
            </w:r>
          </w:p>
        </w:tc>
        <w:tc>
          <w:tcPr>
            <w:tcW w:w="807" w:type="pct"/>
            <w:hideMark/>
          </w:tcPr>
          <w:p w14:paraId="3C0DFBF2" w14:textId="77777777" w:rsidR="00FD309C" w:rsidRPr="00FD309C" w:rsidRDefault="00FD309C" w:rsidP="00FD309C">
            <w:pPr>
              <w:spacing w:line="480" w:lineRule="auto"/>
            </w:pPr>
            <w:r w:rsidRPr="00FD309C">
              <w:t>Selling Price</w:t>
            </w:r>
          </w:p>
        </w:tc>
        <w:tc>
          <w:tcPr>
            <w:tcW w:w="879" w:type="pct"/>
            <w:hideMark/>
          </w:tcPr>
          <w:p w14:paraId="7F873778" w14:textId="77777777" w:rsidR="00FD309C" w:rsidRPr="00FD309C" w:rsidRDefault="00FD309C" w:rsidP="00FD309C">
            <w:pPr>
              <w:spacing w:line="480" w:lineRule="auto"/>
            </w:pPr>
            <w:r w:rsidRPr="00FD309C">
              <w:t>Variable Cost</w:t>
            </w:r>
          </w:p>
        </w:tc>
        <w:tc>
          <w:tcPr>
            <w:tcW w:w="1620" w:type="pct"/>
            <w:hideMark/>
          </w:tcPr>
          <w:p w14:paraId="0167FE85" w14:textId="77777777" w:rsidR="00FD309C" w:rsidRPr="00FD309C" w:rsidRDefault="00FD309C" w:rsidP="00FD309C">
            <w:pPr>
              <w:spacing w:line="480" w:lineRule="auto"/>
            </w:pPr>
            <w:r w:rsidRPr="00FD309C">
              <w:t>Contribution Margin (CM)</w:t>
            </w:r>
          </w:p>
        </w:tc>
        <w:tc>
          <w:tcPr>
            <w:tcW w:w="664" w:type="pct"/>
            <w:hideMark/>
          </w:tcPr>
          <w:p w14:paraId="0D9BD49D" w14:textId="77777777" w:rsidR="00FD309C" w:rsidRPr="00FD309C" w:rsidRDefault="00FD309C" w:rsidP="00FD309C">
            <w:pPr>
              <w:spacing w:line="480" w:lineRule="auto"/>
            </w:pPr>
            <w:r w:rsidRPr="00FD309C">
              <w:t>CM Ratio</w:t>
            </w:r>
          </w:p>
        </w:tc>
      </w:tr>
      <w:tr w:rsidR="00FD309C" w:rsidRPr="00FD309C" w14:paraId="14BFDFC9" w14:textId="77777777" w:rsidTr="00FD309C">
        <w:tc>
          <w:tcPr>
            <w:tcW w:w="1029" w:type="pct"/>
            <w:hideMark/>
          </w:tcPr>
          <w:p w14:paraId="406991C1" w14:textId="77777777" w:rsidR="00FD309C" w:rsidRPr="00FD309C" w:rsidRDefault="00FD309C" w:rsidP="00FD309C">
            <w:pPr>
              <w:spacing w:line="480" w:lineRule="auto"/>
            </w:pPr>
            <w:r w:rsidRPr="00FD309C">
              <w:t>Team Jerseys</w:t>
            </w:r>
          </w:p>
        </w:tc>
        <w:tc>
          <w:tcPr>
            <w:tcW w:w="807" w:type="pct"/>
            <w:hideMark/>
          </w:tcPr>
          <w:p w14:paraId="2D0962CF" w14:textId="77777777" w:rsidR="00FD309C" w:rsidRPr="00FD309C" w:rsidRDefault="00FD309C" w:rsidP="00FD309C">
            <w:pPr>
              <w:spacing w:line="480" w:lineRule="auto"/>
            </w:pPr>
            <w:r w:rsidRPr="00FD309C">
              <w:t>$50</w:t>
            </w:r>
          </w:p>
        </w:tc>
        <w:tc>
          <w:tcPr>
            <w:tcW w:w="879" w:type="pct"/>
            <w:hideMark/>
          </w:tcPr>
          <w:p w14:paraId="5C205825" w14:textId="77777777" w:rsidR="00FD309C" w:rsidRPr="00FD309C" w:rsidRDefault="00FD309C" w:rsidP="00FD309C">
            <w:pPr>
              <w:spacing w:line="480" w:lineRule="auto"/>
            </w:pPr>
            <w:r w:rsidRPr="00FD309C">
              <w:t>$28</w:t>
            </w:r>
          </w:p>
        </w:tc>
        <w:tc>
          <w:tcPr>
            <w:tcW w:w="1620" w:type="pct"/>
            <w:hideMark/>
          </w:tcPr>
          <w:p w14:paraId="5FE25F14" w14:textId="77777777" w:rsidR="00FD309C" w:rsidRPr="00FD309C" w:rsidRDefault="00FD309C" w:rsidP="00FD309C">
            <w:pPr>
              <w:spacing w:line="480" w:lineRule="auto"/>
            </w:pPr>
            <w:r w:rsidRPr="00FD309C">
              <w:t>$22</w:t>
            </w:r>
          </w:p>
        </w:tc>
        <w:tc>
          <w:tcPr>
            <w:tcW w:w="664" w:type="pct"/>
            <w:hideMark/>
          </w:tcPr>
          <w:p w14:paraId="0A6661BA" w14:textId="77777777" w:rsidR="00FD309C" w:rsidRPr="00FD309C" w:rsidRDefault="00FD309C" w:rsidP="00FD309C">
            <w:pPr>
              <w:spacing w:line="480" w:lineRule="auto"/>
            </w:pPr>
            <w:r w:rsidRPr="00FD309C">
              <w:t>44%</w:t>
            </w:r>
          </w:p>
        </w:tc>
      </w:tr>
      <w:tr w:rsidR="00FD309C" w:rsidRPr="00FD309C" w14:paraId="28D9B9DB" w14:textId="77777777" w:rsidTr="00FD309C">
        <w:tc>
          <w:tcPr>
            <w:tcW w:w="1029" w:type="pct"/>
            <w:hideMark/>
          </w:tcPr>
          <w:p w14:paraId="1FF8D2E0" w14:textId="77777777" w:rsidR="00FD309C" w:rsidRPr="00FD309C" w:rsidRDefault="00FD309C" w:rsidP="00FD309C">
            <w:pPr>
              <w:spacing w:line="480" w:lineRule="auto"/>
            </w:pPr>
            <w:r w:rsidRPr="00FD309C">
              <w:t>Athletic Hoodies</w:t>
            </w:r>
          </w:p>
        </w:tc>
        <w:tc>
          <w:tcPr>
            <w:tcW w:w="807" w:type="pct"/>
            <w:hideMark/>
          </w:tcPr>
          <w:p w14:paraId="27BE9F56" w14:textId="77777777" w:rsidR="00FD309C" w:rsidRPr="00FD309C" w:rsidRDefault="00FD309C" w:rsidP="00FD309C">
            <w:pPr>
              <w:spacing w:line="480" w:lineRule="auto"/>
            </w:pPr>
            <w:r w:rsidRPr="00FD309C">
              <w:t>$65</w:t>
            </w:r>
          </w:p>
        </w:tc>
        <w:tc>
          <w:tcPr>
            <w:tcW w:w="879" w:type="pct"/>
            <w:hideMark/>
          </w:tcPr>
          <w:p w14:paraId="56F3766A" w14:textId="77777777" w:rsidR="00FD309C" w:rsidRPr="00FD309C" w:rsidRDefault="00FD309C" w:rsidP="00FD309C">
            <w:pPr>
              <w:spacing w:line="480" w:lineRule="auto"/>
            </w:pPr>
            <w:r w:rsidRPr="00FD309C">
              <w:t>$34</w:t>
            </w:r>
          </w:p>
        </w:tc>
        <w:tc>
          <w:tcPr>
            <w:tcW w:w="1620" w:type="pct"/>
            <w:hideMark/>
          </w:tcPr>
          <w:p w14:paraId="5512A7FC" w14:textId="77777777" w:rsidR="00FD309C" w:rsidRPr="00FD309C" w:rsidRDefault="00FD309C" w:rsidP="00FD309C">
            <w:pPr>
              <w:spacing w:line="480" w:lineRule="auto"/>
            </w:pPr>
            <w:r w:rsidRPr="00FD309C">
              <w:t>$31</w:t>
            </w:r>
          </w:p>
        </w:tc>
        <w:tc>
          <w:tcPr>
            <w:tcW w:w="664" w:type="pct"/>
            <w:hideMark/>
          </w:tcPr>
          <w:p w14:paraId="47C34277" w14:textId="77777777" w:rsidR="00FD309C" w:rsidRPr="00FD309C" w:rsidRDefault="00FD309C" w:rsidP="00FD309C">
            <w:pPr>
              <w:spacing w:line="480" w:lineRule="auto"/>
            </w:pPr>
            <w:r w:rsidRPr="00FD309C">
              <w:t>48%</w:t>
            </w:r>
          </w:p>
        </w:tc>
      </w:tr>
      <w:tr w:rsidR="00FD309C" w:rsidRPr="00FD309C" w14:paraId="62F54D9A" w14:textId="77777777" w:rsidTr="00FD309C">
        <w:tc>
          <w:tcPr>
            <w:tcW w:w="1029" w:type="pct"/>
            <w:hideMark/>
          </w:tcPr>
          <w:p w14:paraId="43BBCC3E" w14:textId="77777777" w:rsidR="00FD309C" w:rsidRPr="00FD309C" w:rsidRDefault="00FD309C" w:rsidP="00FD309C">
            <w:pPr>
              <w:spacing w:line="480" w:lineRule="auto"/>
            </w:pPr>
            <w:r w:rsidRPr="00FD309C">
              <w:t>Training Shorts</w:t>
            </w:r>
          </w:p>
        </w:tc>
        <w:tc>
          <w:tcPr>
            <w:tcW w:w="807" w:type="pct"/>
            <w:hideMark/>
          </w:tcPr>
          <w:p w14:paraId="16973D85" w14:textId="77777777" w:rsidR="00FD309C" w:rsidRPr="00FD309C" w:rsidRDefault="00FD309C" w:rsidP="00FD309C">
            <w:pPr>
              <w:spacing w:line="480" w:lineRule="auto"/>
            </w:pPr>
            <w:r w:rsidRPr="00FD309C">
              <w:t>$30</w:t>
            </w:r>
          </w:p>
        </w:tc>
        <w:tc>
          <w:tcPr>
            <w:tcW w:w="879" w:type="pct"/>
            <w:hideMark/>
          </w:tcPr>
          <w:p w14:paraId="431FC65F" w14:textId="77777777" w:rsidR="00FD309C" w:rsidRPr="00FD309C" w:rsidRDefault="00FD309C" w:rsidP="00FD309C">
            <w:pPr>
              <w:spacing w:line="480" w:lineRule="auto"/>
            </w:pPr>
            <w:r w:rsidRPr="00FD309C">
              <w:t>$19</w:t>
            </w:r>
          </w:p>
        </w:tc>
        <w:tc>
          <w:tcPr>
            <w:tcW w:w="1620" w:type="pct"/>
            <w:hideMark/>
          </w:tcPr>
          <w:p w14:paraId="350A070D" w14:textId="77777777" w:rsidR="00FD309C" w:rsidRPr="00FD309C" w:rsidRDefault="00FD309C" w:rsidP="00FD309C">
            <w:pPr>
              <w:spacing w:line="480" w:lineRule="auto"/>
            </w:pPr>
            <w:r w:rsidRPr="00FD309C">
              <w:t>$11</w:t>
            </w:r>
          </w:p>
        </w:tc>
        <w:tc>
          <w:tcPr>
            <w:tcW w:w="664" w:type="pct"/>
            <w:hideMark/>
          </w:tcPr>
          <w:p w14:paraId="5CBD3DB6" w14:textId="77777777" w:rsidR="00FD309C" w:rsidRPr="00FD309C" w:rsidRDefault="00FD309C" w:rsidP="00FD309C">
            <w:pPr>
              <w:spacing w:line="480" w:lineRule="auto"/>
            </w:pPr>
            <w:r w:rsidRPr="00FD309C">
              <w:t>37%</w:t>
            </w:r>
          </w:p>
        </w:tc>
      </w:tr>
      <w:tr w:rsidR="00FD309C" w:rsidRPr="00FD309C" w14:paraId="16AA11F4" w14:textId="77777777" w:rsidTr="00FD309C">
        <w:tc>
          <w:tcPr>
            <w:tcW w:w="1029" w:type="pct"/>
            <w:hideMark/>
          </w:tcPr>
          <w:p w14:paraId="77AEE8A8" w14:textId="77777777" w:rsidR="00FD309C" w:rsidRPr="00FD309C" w:rsidRDefault="00FD309C" w:rsidP="00FD309C">
            <w:pPr>
              <w:spacing w:line="480" w:lineRule="auto"/>
            </w:pPr>
            <w:r w:rsidRPr="00FD309C">
              <w:t>Sports Caps</w:t>
            </w:r>
          </w:p>
        </w:tc>
        <w:tc>
          <w:tcPr>
            <w:tcW w:w="807" w:type="pct"/>
            <w:hideMark/>
          </w:tcPr>
          <w:p w14:paraId="0C205B76" w14:textId="77777777" w:rsidR="00FD309C" w:rsidRPr="00FD309C" w:rsidRDefault="00FD309C" w:rsidP="00FD309C">
            <w:pPr>
              <w:spacing w:line="480" w:lineRule="auto"/>
            </w:pPr>
            <w:r w:rsidRPr="00FD309C">
              <w:t>$20</w:t>
            </w:r>
          </w:p>
        </w:tc>
        <w:tc>
          <w:tcPr>
            <w:tcW w:w="879" w:type="pct"/>
            <w:hideMark/>
          </w:tcPr>
          <w:p w14:paraId="50617D08" w14:textId="77777777" w:rsidR="00FD309C" w:rsidRPr="00FD309C" w:rsidRDefault="00FD309C" w:rsidP="00FD309C">
            <w:pPr>
              <w:spacing w:line="480" w:lineRule="auto"/>
            </w:pPr>
            <w:r w:rsidRPr="00FD309C">
              <w:t>$14</w:t>
            </w:r>
          </w:p>
        </w:tc>
        <w:tc>
          <w:tcPr>
            <w:tcW w:w="1620" w:type="pct"/>
            <w:hideMark/>
          </w:tcPr>
          <w:p w14:paraId="47067A77" w14:textId="77777777" w:rsidR="00FD309C" w:rsidRPr="00FD309C" w:rsidRDefault="00FD309C" w:rsidP="00FD309C">
            <w:pPr>
              <w:spacing w:line="480" w:lineRule="auto"/>
            </w:pPr>
            <w:r w:rsidRPr="00FD309C">
              <w:t>$6</w:t>
            </w:r>
          </w:p>
        </w:tc>
        <w:tc>
          <w:tcPr>
            <w:tcW w:w="664" w:type="pct"/>
            <w:hideMark/>
          </w:tcPr>
          <w:p w14:paraId="5E9509E9" w14:textId="77777777" w:rsidR="00FD309C" w:rsidRPr="00FD309C" w:rsidRDefault="00FD309C" w:rsidP="00FD309C">
            <w:pPr>
              <w:spacing w:line="480" w:lineRule="auto"/>
            </w:pPr>
            <w:r w:rsidRPr="00FD309C">
              <w:t>30%</w:t>
            </w:r>
          </w:p>
        </w:tc>
      </w:tr>
    </w:tbl>
    <w:p w14:paraId="28D3B6C8" w14:textId="5CA484D5" w:rsidR="00FD309C" w:rsidRDefault="00FD309C" w:rsidP="00F310CD">
      <w:pPr>
        <w:spacing w:line="480" w:lineRule="auto"/>
        <w:jc w:val="both"/>
      </w:pPr>
      <w:r w:rsidRPr="00FD309C">
        <w:lastRenderedPageBreak/>
        <w:tab/>
      </w:r>
      <w:r w:rsidRPr="00FD309C">
        <w:tab/>
      </w:r>
      <w:r w:rsidR="00695B8D">
        <w:t xml:space="preserve">As per the </w:t>
      </w:r>
      <w:r w:rsidRPr="00FD309C">
        <w:t xml:space="preserve">accounting perspective, Athletic Hoodies and Team Jerseys yield the highest CM per unit and CM ratios, making them critical profit drivers. </w:t>
      </w:r>
      <w:r w:rsidR="00695B8D">
        <w:t>Based on t</w:t>
      </w:r>
      <w:r w:rsidRPr="00FD309C">
        <w:t>hese products</w:t>
      </w:r>
      <w:r w:rsidR="00695B8D">
        <w:t xml:space="preserve"> which</w:t>
      </w:r>
      <w:r w:rsidRPr="00FD309C">
        <w:t xml:space="preserve"> not only cover their own variable costs but also contribute significantly toward fixed operating expenses such as factory rent, supervisory salaries, and equipment depreciation</w:t>
      </w:r>
      <w:r w:rsidR="00EB1AC1">
        <w:t xml:space="preserve"> </w:t>
      </w:r>
      <w:r w:rsidR="00EB1AC1" w:rsidRPr="00EB1AC1">
        <w:t>(</w:t>
      </w:r>
      <w:proofErr w:type="spellStart"/>
      <w:r w:rsidR="00EB1AC1" w:rsidRPr="00EB1AC1">
        <w:t>Husemann</w:t>
      </w:r>
      <w:proofErr w:type="spellEnd"/>
      <w:r w:rsidR="00EB1AC1" w:rsidRPr="00EB1AC1">
        <w:t xml:space="preserve">, </w:t>
      </w:r>
      <w:proofErr w:type="spellStart"/>
      <w:r w:rsidR="00EB1AC1" w:rsidRPr="00EB1AC1">
        <w:t>Kirste</w:t>
      </w:r>
      <w:proofErr w:type="spellEnd"/>
      <w:r w:rsidR="00EB1AC1" w:rsidRPr="00EB1AC1">
        <w:t xml:space="preserve"> &amp; Stumpf, 2024)</w:t>
      </w:r>
      <w:r w:rsidRPr="00FD309C">
        <w:t xml:space="preserve">. </w:t>
      </w:r>
      <w:r w:rsidR="00695B8D">
        <w:t>According to the t</w:t>
      </w:r>
      <w:r w:rsidRPr="00FD309C">
        <w:t xml:space="preserve">raining Shorts, while having a lower CM ratio, benefit from higher sales volume, making them a steady contributor to total CM. Sports Caps have the lowest CM ratio and dollar margin, indicating limited profitability and greater vulnerability to material cost </w:t>
      </w:r>
      <w:r w:rsidR="00695B8D">
        <w:t xml:space="preserve">increase </w:t>
      </w:r>
      <w:r w:rsidR="00695B8D" w:rsidRPr="00FD309C">
        <w:t>discourtesies</w:t>
      </w:r>
      <w:r w:rsidR="00EB1AC1">
        <w:t xml:space="preserve"> </w:t>
      </w:r>
      <w:r w:rsidR="00EB1AC1" w:rsidRPr="00EB1AC1">
        <w:t>(</w:t>
      </w:r>
      <w:proofErr w:type="spellStart"/>
      <w:r w:rsidR="00EB1AC1" w:rsidRPr="00EB1AC1">
        <w:t>Pekkari</w:t>
      </w:r>
      <w:proofErr w:type="spellEnd"/>
      <w:r w:rsidR="00EB1AC1" w:rsidRPr="00EB1AC1">
        <w:t xml:space="preserve"> et al., 2024)</w:t>
      </w:r>
      <w:r w:rsidRPr="00FD309C">
        <w:t>.</w:t>
      </w:r>
    </w:p>
    <w:p w14:paraId="4B87FFCC" w14:textId="08F8081D" w:rsidR="00FD309C" w:rsidRPr="00FD309C" w:rsidRDefault="00FD309C" w:rsidP="00FD309C">
      <w:pPr>
        <w:spacing w:line="480" w:lineRule="auto"/>
      </w:pPr>
      <w:r>
        <w:tab/>
      </w:r>
      <w:r w:rsidR="00695B8D">
        <w:t>In the regard of c</w:t>
      </w:r>
      <w:r w:rsidRPr="00FD309C">
        <w:t xml:space="preserve">ontribution margin analysis </w:t>
      </w:r>
      <w:r w:rsidR="00695B8D">
        <w:t xml:space="preserve">which ultimately </w:t>
      </w:r>
      <w:r w:rsidRPr="00FD309C">
        <w:t xml:space="preserve">helps management prioritize resources toward high-margin products, consider pricing adjustments for low-margin items, and make informed decisions on potential discontinuation or redesign. </w:t>
      </w:r>
      <w:r w:rsidR="00695B8D">
        <w:t>As per s</w:t>
      </w:r>
      <w:r w:rsidRPr="00FD309C">
        <w:t>trategically, maintaining a balanced mix—where low-margin items like caps serve as entry products that complement high-margin core offerings—supports both short-term profitability and long-term market positioning</w:t>
      </w:r>
      <w:r w:rsidR="00EB1AC1">
        <w:t xml:space="preserve"> </w:t>
      </w:r>
      <w:r w:rsidR="00EB1AC1" w:rsidRPr="00EB1AC1">
        <w:t>(Senanayake et al., 2025)</w:t>
      </w:r>
      <w:r w:rsidRPr="00FD309C">
        <w:t>.</w:t>
      </w:r>
    </w:p>
    <w:p w14:paraId="359674AE" w14:textId="74FC71C2" w:rsidR="00FD309C" w:rsidRPr="00835D81" w:rsidRDefault="00FD309C" w:rsidP="00FD309C">
      <w:pPr>
        <w:spacing w:line="480" w:lineRule="auto"/>
        <w:rPr>
          <w:b/>
          <w:bCs/>
        </w:rPr>
      </w:pPr>
    </w:p>
    <w:p w14:paraId="5839C4DD" w14:textId="77777777" w:rsidR="00C42A69" w:rsidRDefault="00C42A69" w:rsidP="00C42A69">
      <w:pPr>
        <w:spacing w:line="480" w:lineRule="auto"/>
        <w:jc w:val="center"/>
        <w:rPr>
          <w:b/>
          <w:bCs/>
        </w:rPr>
      </w:pPr>
      <w:r w:rsidRPr="00835D81">
        <w:rPr>
          <w:b/>
          <w:bCs/>
        </w:rPr>
        <w:t>Special Pricing Order</w:t>
      </w:r>
    </w:p>
    <w:tbl>
      <w:tblPr>
        <w:tblStyle w:val="TableGrid"/>
        <w:tblW w:w="0" w:type="auto"/>
        <w:tblLook w:val="04A0" w:firstRow="1" w:lastRow="0" w:firstColumn="1" w:lastColumn="0" w:noHBand="0" w:noVBand="1"/>
      </w:tblPr>
      <w:tblGrid>
        <w:gridCol w:w="1490"/>
        <w:gridCol w:w="581"/>
        <w:gridCol w:w="918"/>
        <w:gridCol w:w="1020"/>
        <w:gridCol w:w="1195"/>
        <w:gridCol w:w="1292"/>
        <w:gridCol w:w="1122"/>
        <w:gridCol w:w="1732"/>
      </w:tblGrid>
      <w:tr w:rsidR="00FD309C" w:rsidRPr="00FD309C" w14:paraId="5A0D37FF" w14:textId="77777777" w:rsidTr="00FD309C">
        <w:tc>
          <w:tcPr>
            <w:tcW w:w="0" w:type="auto"/>
            <w:hideMark/>
          </w:tcPr>
          <w:p w14:paraId="67207605" w14:textId="77777777" w:rsidR="00FD309C" w:rsidRPr="00FD309C" w:rsidRDefault="00FD309C" w:rsidP="00FD309C">
            <w:pPr>
              <w:spacing w:line="480" w:lineRule="auto"/>
              <w:rPr>
                <w:b/>
                <w:bCs/>
                <w:sz w:val="16"/>
                <w:szCs w:val="16"/>
              </w:rPr>
            </w:pPr>
            <w:r w:rsidRPr="00FD309C">
              <w:rPr>
                <w:b/>
                <w:bCs/>
                <w:sz w:val="16"/>
                <w:szCs w:val="16"/>
              </w:rPr>
              <w:t>Scenario</w:t>
            </w:r>
          </w:p>
        </w:tc>
        <w:tc>
          <w:tcPr>
            <w:tcW w:w="0" w:type="auto"/>
            <w:hideMark/>
          </w:tcPr>
          <w:p w14:paraId="635C8045" w14:textId="77777777" w:rsidR="00FD309C" w:rsidRPr="00FD309C" w:rsidRDefault="00FD309C" w:rsidP="00FD309C">
            <w:pPr>
              <w:spacing w:line="480" w:lineRule="auto"/>
              <w:rPr>
                <w:b/>
                <w:bCs/>
                <w:sz w:val="16"/>
                <w:szCs w:val="16"/>
              </w:rPr>
            </w:pPr>
            <w:r w:rsidRPr="00FD309C">
              <w:rPr>
                <w:b/>
                <w:bCs/>
                <w:sz w:val="16"/>
                <w:szCs w:val="16"/>
              </w:rPr>
              <w:t>Units</w:t>
            </w:r>
          </w:p>
        </w:tc>
        <w:tc>
          <w:tcPr>
            <w:tcW w:w="0" w:type="auto"/>
            <w:hideMark/>
          </w:tcPr>
          <w:p w14:paraId="6EB1CAD4" w14:textId="77777777" w:rsidR="00FD309C" w:rsidRPr="00FD309C" w:rsidRDefault="00FD309C" w:rsidP="00FD309C">
            <w:pPr>
              <w:spacing w:line="480" w:lineRule="auto"/>
              <w:rPr>
                <w:b/>
                <w:bCs/>
                <w:sz w:val="16"/>
                <w:szCs w:val="16"/>
              </w:rPr>
            </w:pPr>
            <w:r w:rsidRPr="00FD309C">
              <w:rPr>
                <w:b/>
                <w:bCs/>
                <w:sz w:val="16"/>
                <w:szCs w:val="16"/>
              </w:rPr>
              <w:t>Price/Unit</w:t>
            </w:r>
          </w:p>
        </w:tc>
        <w:tc>
          <w:tcPr>
            <w:tcW w:w="0" w:type="auto"/>
            <w:hideMark/>
          </w:tcPr>
          <w:p w14:paraId="35BF1935" w14:textId="77777777" w:rsidR="00FD309C" w:rsidRPr="00FD309C" w:rsidRDefault="00FD309C" w:rsidP="00FD309C">
            <w:pPr>
              <w:spacing w:line="480" w:lineRule="auto"/>
              <w:rPr>
                <w:b/>
                <w:bCs/>
                <w:sz w:val="16"/>
                <w:szCs w:val="16"/>
              </w:rPr>
            </w:pPr>
            <w:r w:rsidRPr="00FD309C">
              <w:rPr>
                <w:b/>
                <w:bCs/>
                <w:sz w:val="16"/>
                <w:szCs w:val="16"/>
              </w:rPr>
              <w:t>Variable Cost/Unit</w:t>
            </w:r>
          </w:p>
        </w:tc>
        <w:tc>
          <w:tcPr>
            <w:tcW w:w="0" w:type="auto"/>
            <w:hideMark/>
          </w:tcPr>
          <w:p w14:paraId="7F36D932" w14:textId="77777777" w:rsidR="00FD309C" w:rsidRPr="00FD309C" w:rsidRDefault="00FD309C" w:rsidP="00FD309C">
            <w:pPr>
              <w:spacing w:line="480" w:lineRule="auto"/>
              <w:rPr>
                <w:b/>
                <w:bCs/>
                <w:sz w:val="16"/>
                <w:szCs w:val="16"/>
              </w:rPr>
            </w:pPr>
            <w:r w:rsidRPr="00FD309C">
              <w:rPr>
                <w:b/>
                <w:bCs/>
                <w:sz w:val="16"/>
                <w:szCs w:val="16"/>
              </w:rPr>
              <w:t>Incremental Revenue</w:t>
            </w:r>
          </w:p>
        </w:tc>
        <w:tc>
          <w:tcPr>
            <w:tcW w:w="0" w:type="auto"/>
            <w:hideMark/>
          </w:tcPr>
          <w:p w14:paraId="76375649" w14:textId="77777777" w:rsidR="00FD309C" w:rsidRPr="00FD309C" w:rsidRDefault="00FD309C" w:rsidP="00FD309C">
            <w:pPr>
              <w:spacing w:line="480" w:lineRule="auto"/>
              <w:rPr>
                <w:b/>
                <w:bCs/>
                <w:sz w:val="16"/>
                <w:szCs w:val="16"/>
              </w:rPr>
            </w:pPr>
            <w:r w:rsidRPr="00FD309C">
              <w:rPr>
                <w:b/>
                <w:bCs/>
                <w:sz w:val="16"/>
                <w:szCs w:val="16"/>
              </w:rPr>
              <w:t>Incremental Variable Costs</w:t>
            </w:r>
          </w:p>
        </w:tc>
        <w:tc>
          <w:tcPr>
            <w:tcW w:w="0" w:type="auto"/>
            <w:hideMark/>
          </w:tcPr>
          <w:p w14:paraId="43F629ED" w14:textId="77777777" w:rsidR="00FD309C" w:rsidRPr="00FD309C" w:rsidRDefault="00FD309C" w:rsidP="00FD309C">
            <w:pPr>
              <w:spacing w:line="480" w:lineRule="auto"/>
              <w:rPr>
                <w:b/>
                <w:bCs/>
                <w:sz w:val="16"/>
                <w:szCs w:val="16"/>
              </w:rPr>
            </w:pPr>
            <w:r w:rsidRPr="00FD309C">
              <w:rPr>
                <w:b/>
                <w:bCs/>
                <w:sz w:val="16"/>
                <w:szCs w:val="16"/>
              </w:rPr>
              <w:t>Incremental CM</w:t>
            </w:r>
          </w:p>
        </w:tc>
        <w:tc>
          <w:tcPr>
            <w:tcW w:w="0" w:type="auto"/>
            <w:hideMark/>
          </w:tcPr>
          <w:p w14:paraId="55B3493B" w14:textId="77777777" w:rsidR="00FD309C" w:rsidRPr="00FD309C" w:rsidRDefault="00FD309C" w:rsidP="00FD309C">
            <w:pPr>
              <w:spacing w:line="480" w:lineRule="auto"/>
              <w:rPr>
                <w:b/>
                <w:bCs/>
                <w:sz w:val="16"/>
                <w:szCs w:val="16"/>
              </w:rPr>
            </w:pPr>
            <w:r w:rsidRPr="00FD309C">
              <w:rPr>
                <w:b/>
                <w:bCs/>
                <w:sz w:val="16"/>
                <w:szCs w:val="16"/>
              </w:rPr>
              <w:t>Notes/Decision</w:t>
            </w:r>
          </w:p>
        </w:tc>
      </w:tr>
      <w:tr w:rsidR="00FD309C" w:rsidRPr="00FD309C" w14:paraId="570CC3CA" w14:textId="77777777" w:rsidTr="00FD309C">
        <w:tc>
          <w:tcPr>
            <w:tcW w:w="0" w:type="auto"/>
            <w:hideMark/>
          </w:tcPr>
          <w:p w14:paraId="482A0A20" w14:textId="77777777" w:rsidR="00FD309C" w:rsidRPr="00FD309C" w:rsidRDefault="00FD309C" w:rsidP="00FD309C">
            <w:pPr>
              <w:spacing w:line="480" w:lineRule="auto"/>
              <w:rPr>
                <w:sz w:val="16"/>
                <w:szCs w:val="16"/>
              </w:rPr>
            </w:pPr>
            <w:r w:rsidRPr="00FD309C">
              <w:rPr>
                <w:b/>
                <w:bCs/>
                <w:sz w:val="16"/>
                <w:szCs w:val="16"/>
              </w:rPr>
              <w:t>Base Case – Idle Capacity</w:t>
            </w:r>
          </w:p>
        </w:tc>
        <w:tc>
          <w:tcPr>
            <w:tcW w:w="0" w:type="auto"/>
            <w:hideMark/>
          </w:tcPr>
          <w:p w14:paraId="0FD35B53" w14:textId="77777777" w:rsidR="00FD309C" w:rsidRPr="00FD309C" w:rsidRDefault="00FD309C" w:rsidP="00FD309C">
            <w:pPr>
              <w:spacing w:line="480" w:lineRule="auto"/>
              <w:rPr>
                <w:sz w:val="16"/>
                <w:szCs w:val="16"/>
              </w:rPr>
            </w:pPr>
            <w:r w:rsidRPr="00FD309C">
              <w:rPr>
                <w:sz w:val="16"/>
                <w:szCs w:val="16"/>
              </w:rPr>
              <w:t>500</w:t>
            </w:r>
          </w:p>
        </w:tc>
        <w:tc>
          <w:tcPr>
            <w:tcW w:w="0" w:type="auto"/>
            <w:hideMark/>
          </w:tcPr>
          <w:p w14:paraId="3A632FA2" w14:textId="77777777" w:rsidR="00FD309C" w:rsidRPr="00FD309C" w:rsidRDefault="00FD309C" w:rsidP="00FD309C">
            <w:pPr>
              <w:spacing w:line="480" w:lineRule="auto"/>
              <w:rPr>
                <w:sz w:val="16"/>
                <w:szCs w:val="16"/>
              </w:rPr>
            </w:pPr>
            <w:r w:rsidRPr="00FD309C">
              <w:rPr>
                <w:sz w:val="16"/>
                <w:szCs w:val="16"/>
              </w:rPr>
              <w:t>$55</w:t>
            </w:r>
          </w:p>
        </w:tc>
        <w:tc>
          <w:tcPr>
            <w:tcW w:w="0" w:type="auto"/>
            <w:hideMark/>
          </w:tcPr>
          <w:p w14:paraId="0A272156" w14:textId="77777777" w:rsidR="00FD309C" w:rsidRPr="00FD309C" w:rsidRDefault="00FD309C" w:rsidP="00FD309C">
            <w:pPr>
              <w:spacing w:line="480" w:lineRule="auto"/>
              <w:rPr>
                <w:sz w:val="16"/>
                <w:szCs w:val="16"/>
              </w:rPr>
            </w:pPr>
            <w:r w:rsidRPr="00FD309C">
              <w:rPr>
                <w:sz w:val="16"/>
                <w:szCs w:val="16"/>
              </w:rPr>
              <w:t>$34</w:t>
            </w:r>
          </w:p>
        </w:tc>
        <w:tc>
          <w:tcPr>
            <w:tcW w:w="0" w:type="auto"/>
            <w:hideMark/>
          </w:tcPr>
          <w:p w14:paraId="1A369EA9" w14:textId="77777777" w:rsidR="00FD309C" w:rsidRPr="00FD309C" w:rsidRDefault="00FD309C" w:rsidP="00FD309C">
            <w:pPr>
              <w:spacing w:line="480" w:lineRule="auto"/>
              <w:rPr>
                <w:sz w:val="16"/>
                <w:szCs w:val="16"/>
              </w:rPr>
            </w:pPr>
            <w:r w:rsidRPr="00FD309C">
              <w:rPr>
                <w:sz w:val="16"/>
                <w:szCs w:val="16"/>
              </w:rPr>
              <w:t>$27,500</w:t>
            </w:r>
          </w:p>
        </w:tc>
        <w:tc>
          <w:tcPr>
            <w:tcW w:w="0" w:type="auto"/>
            <w:hideMark/>
          </w:tcPr>
          <w:p w14:paraId="3C7178A2" w14:textId="77777777" w:rsidR="00FD309C" w:rsidRPr="00FD309C" w:rsidRDefault="00FD309C" w:rsidP="00FD309C">
            <w:pPr>
              <w:spacing w:line="480" w:lineRule="auto"/>
              <w:rPr>
                <w:sz w:val="16"/>
                <w:szCs w:val="16"/>
              </w:rPr>
            </w:pPr>
            <w:r w:rsidRPr="00FD309C">
              <w:rPr>
                <w:sz w:val="16"/>
                <w:szCs w:val="16"/>
              </w:rPr>
              <w:t>$17,000</w:t>
            </w:r>
          </w:p>
        </w:tc>
        <w:tc>
          <w:tcPr>
            <w:tcW w:w="0" w:type="auto"/>
            <w:hideMark/>
          </w:tcPr>
          <w:p w14:paraId="682DC461" w14:textId="77777777" w:rsidR="00FD309C" w:rsidRPr="00FD309C" w:rsidRDefault="00FD309C" w:rsidP="00FD309C">
            <w:pPr>
              <w:spacing w:line="480" w:lineRule="auto"/>
              <w:rPr>
                <w:sz w:val="16"/>
                <w:szCs w:val="16"/>
              </w:rPr>
            </w:pPr>
            <w:r w:rsidRPr="00FD309C">
              <w:rPr>
                <w:sz w:val="16"/>
                <w:szCs w:val="16"/>
              </w:rPr>
              <w:t>$10,500</w:t>
            </w:r>
          </w:p>
        </w:tc>
        <w:tc>
          <w:tcPr>
            <w:tcW w:w="0" w:type="auto"/>
            <w:hideMark/>
          </w:tcPr>
          <w:p w14:paraId="3ED39BCC" w14:textId="77777777" w:rsidR="00FD309C" w:rsidRPr="00FD309C" w:rsidRDefault="00FD309C" w:rsidP="00FD309C">
            <w:pPr>
              <w:spacing w:line="480" w:lineRule="auto"/>
              <w:rPr>
                <w:sz w:val="16"/>
                <w:szCs w:val="16"/>
              </w:rPr>
            </w:pPr>
            <w:r w:rsidRPr="00FD309C">
              <w:rPr>
                <w:sz w:val="16"/>
                <w:szCs w:val="16"/>
              </w:rPr>
              <w:t>Accept – adds $10,500 toward fixed costs &amp; profit</w:t>
            </w:r>
          </w:p>
        </w:tc>
      </w:tr>
      <w:tr w:rsidR="00FD309C" w:rsidRPr="00FD309C" w14:paraId="178AB6E4" w14:textId="77777777" w:rsidTr="00FD309C">
        <w:tc>
          <w:tcPr>
            <w:tcW w:w="0" w:type="auto"/>
            <w:hideMark/>
          </w:tcPr>
          <w:p w14:paraId="1FBFFEB1" w14:textId="77777777" w:rsidR="00FD309C" w:rsidRPr="00FD309C" w:rsidRDefault="00FD309C" w:rsidP="00FD309C">
            <w:pPr>
              <w:spacing w:line="480" w:lineRule="auto"/>
              <w:rPr>
                <w:sz w:val="16"/>
                <w:szCs w:val="16"/>
              </w:rPr>
            </w:pPr>
            <w:r w:rsidRPr="00FD309C">
              <w:rPr>
                <w:b/>
                <w:bCs/>
                <w:sz w:val="16"/>
                <w:szCs w:val="16"/>
              </w:rPr>
              <w:t>Limited Capacity – 200 Units Regular Sales Lost</w:t>
            </w:r>
          </w:p>
        </w:tc>
        <w:tc>
          <w:tcPr>
            <w:tcW w:w="0" w:type="auto"/>
            <w:hideMark/>
          </w:tcPr>
          <w:p w14:paraId="239A8BC4" w14:textId="77777777" w:rsidR="00FD309C" w:rsidRPr="00FD309C" w:rsidRDefault="00FD309C" w:rsidP="00FD309C">
            <w:pPr>
              <w:spacing w:line="480" w:lineRule="auto"/>
              <w:rPr>
                <w:sz w:val="16"/>
                <w:szCs w:val="16"/>
              </w:rPr>
            </w:pPr>
            <w:r w:rsidRPr="00FD309C">
              <w:rPr>
                <w:sz w:val="16"/>
                <w:szCs w:val="16"/>
              </w:rPr>
              <w:t>500</w:t>
            </w:r>
          </w:p>
        </w:tc>
        <w:tc>
          <w:tcPr>
            <w:tcW w:w="0" w:type="auto"/>
            <w:hideMark/>
          </w:tcPr>
          <w:p w14:paraId="7AF0B245" w14:textId="77777777" w:rsidR="00FD309C" w:rsidRPr="00FD309C" w:rsidRDefault="00FD309C" w:rsidP="00FD309C">
            <w:pPr>
              <w:spacing w:line="480" w:lineRule="auto"/>
              <w:rPr>
                <w:sz w:val="16"/>
                <w:szCs w:val="16"/>
              </w:rPr>
            </w:pPr>
            <w:r w:rsidRPr="00FD309C">
              <w:rPr>
                <w:sz w:val="16"/>
                <w:szCs w:val="16"/>
              </w:rPr>
              <w:t>$55</w:t>
            </w:r>
          </w:p>
        </w:tc>
        <w:tc>
          <w:tcPr>
            <w:tcW w:w="0" w:type="auto"/>
            <w:hideMark/>
          </w:tcPr>
          <w:p w14:paraId="7EF3F99F" w14:textId="77777777" w:rsidR="00FD309C" w:rsidRPr="00FD309C" w:rsidRDefault="00FD309C" w:rsidP="00FD309C">
            <w:pPr>
              <w:spacing w:line="480" w:lineRule="auto"/>
              <w:rPr>
                <w:sz w:val="16"/>
                <w:szCs w:val="16"/>
              </w:rPr>
            </w:pPr>
            <w:r w:rsidRPr="00FD309C">
              <w:rPr>
                <w:sz w:val="16"/>
                <w:szCs w:val="16"/>
              </w:rPr>
              <w:t>$34</w:t>
            </w:r>
          </w:p>
        </w:tc>
        <w:tc>
          <w:tcPr>
            <w:tcW w:w="0" w:type="auto"/>
            <w:hideMark/>
          </w:tcPr>
          <w:p w14:paraId="70BC5300" w14:textId="77777777" w:rsidR="00FD309C" w:rsidRPr="00FD309C" w:rsidRDefault="00FD309C" w:rsidP="00FD309C">
            <w:pPr>
              <w:spacing w:line="480" w:lineRule="auto"/>
              <w:rPr>
                <w:sz w:val="16"/>
                <w:szCs w:val="16"/>
              </w:rPr>
            </w:pPr>
            <w:r w:rsidRPr="00FD309C">
              <w:rPr>
                <w:sz w:val="16"/>
                <w:szCs w:val="16"/>
              </w:rPr>
              <w:t>$27,500</w:t>
            </w:r>
          </w:p>
        </w:tc>
        <w:tc>
          <w:tcPr>
            <w:tcW w:w="0" w:type="auto"/>
            <w:hideMark/>
          </w:tcPr>
          <w:p w14:paraId="03C92C27" w14:textId="77777777" w:rsidR="00FD309C" w:rsidRPr="00FD309C" w:rsidRDefault="00FD309C" w:rsidP="00FD309C">
            <w:pPr>
              <w:spacing w:line="480" w:lineRule="auto"/>
              <w:rPr>
                <w:sz w:val="16"/>
                <w:szCs w:val="16"/>
              </w:rPr>
            </w:pPr>
            <w:r w:rsidRPr="00FD309C">
              <w:rPr>
                <w:sz w:val="16"/>
                <w:szCs w:val="16"/>
              </w:rPr>
              <w:t>$17,000</w:t>
            </w:r>
          </w:p>
        </w:tc>
        <w:tc>
          <w:tcPr>
            <w:tcW w:w="0" w:type="auto"/>
            <w:hideMark/>
          </w:tcPr>
          <w:p w14:paraId="57AF7F1A" w14:textId="77777777" w:rsidR="00FD309C" w:rsidRPr="00FD309C" w:rsidRDefault="00FD309C" w:rsidP="00FD309C">
            <w:pPr>
              <w:spacing w:line="480" w:lineRule="auto"/>
              <w:rPr>
                <w:sz w:val="16"/>
                <w:szCs w:val="16"/>
              </w:rPr>
            </w:pPr>
            <w:r w:rsidRPr="00FD309C">
              <w:rPr>
                <w:sz w:val="16"/>
                <w:szCs w:val="16"/>
              </w:rPr>
              <w:t>$4,300</w:t>
            </w:r>
          </w:p>
        </w:tc>
        <w:tc>
          <w:tcPr>
            <w:tcW w:w="0" w:type="auto"/>
            <w:hideMark/>
          </w:tcPr>
          <w:p w14:paraId="02ABE55C" w14:textId="77777777" w:rsidR="00FD309C" w:rsidRPr="00FD309C" w:rsidRDefault="00FD309C" w:rsidP="00FD309C">
            <w:pPr>
              <w:spacing w:line="480" w:lineRule="auto"/>
              <w:rPr>
                <w:sz w:val="16"/>
                <w:szCs w:val="16"/>
              </w:rPr>
            </w:pPr>
            <w:r w:rsidRPr="00FD309C">
              <w:rPr>
                <w:sz w:val="16"/>
                <w:szCs w:val="16"/>
              </w:rPr>
              <w:t>Accept – smaller benefit due to $6,200 lost CM</w:t>
            </w:r>
          </w:p>
        </w:tc>
      </w:tr>
      <w:tr w:rsidR="00FD309C" w:rsidRPr="00FD309C" w14:paraId="724C066B" w14:textId="77777777" w:rsidTr="00FD309C">
        <w:tc>
          <w:tcPr>
            <w:tcW w:w="0" w:type="auto"/>
            <w:hideMark/>
          </w:tcPr>
          <w:p w14:paraId="3F9712B6" w14:textId="77777777" w:rsidR="00FD309C" w:rsidRPr="00FD309C" w:rsidRDefault="00FD309C" w:rsidP="00FD309C">
            <w:pPr>
              <w:spacing w:line="480" w:lineRule="auto"/>
              <w:rPr>
                <w:sz w:val="16"/>
                <w:szCs w:val="16"/>
              </w:rPr>
            </w:pPr>
            <w:r w:rsidRPr="00FD309C">
              <w:rPr>
                <w:b/>
                <w:bCs/>
                <w:sz w:val="16"/>
                <w:szCs w:val="16"/>
              </w:rPr>
              <w:t>Setup Cost of $1,000</w:t>
            </w:r>
          </w:p>
        </w:tc>
        <w:tc>
          <w:tcPr>
            <w:tcW w:w="0" w:type="auto"/>
            <w:hideMark/>
          </w:tcPr>
          <w:p w14:paraId="21B59E58" w14:textId="77777777" w:rsidR="00FD309C" w:rsidRPr="00FD309C" w:rsidRDefault="00FD309C" w:rsidP="00FD309C">
            <w:pPr>
              <w:spacing w:line="480" w:lineRule="auto"/>
              <w:rPr>
                <w:sz w:val="16"/>
                <w:szCs w:val="16"/>
              </w:rPr>
            </w:pPr>
            <w:r w:rsidRPr="00FD309C">
              <w:rPr>
                <w:sz w:val="16"/>
                <w:szCs w:val="16"/>
              </w:rPr>
              <w:t>500</w:t>
            </w:r>
          </w:p>
        </w:tc>
        <w:tc>
          <w:tcPr>
            <w:tcW w:w="0" w:type="auto"/>
            <w:hideMark/>
          </w:tcPr>
          <w:p w14:paraId="4F8861B8" w14:textId="77777777" w:rsidR="00FD309C" w:rsidRPr="00FD309C" w:rsidRDefault="00FD309C" w:rsidP="00FD309C">
            <w:pPr>
              <w:spacing w:line="480" w:lineRule="auto"/>
              <w:rPr>
                <w:sz w:val="16"/>
                <w:szCs w:val="16"/>
              </w:rPr>
            </w:pPr>
            <w:r w:rsidRPr="00FD309C">
              <w:rPr>
                <w:sz w:val="16"/>
                <w:szCs w:val="16"/>
              </w:rPr>
              <w:t>$55</w:t>
            </w:r>
          </w:p>
        </w:tc>
        <w:tc>
          <w:tcPr>
            <w:tcW w:w="0" w:type="auto"/>
            <w:hideMark/>
          </w:tcPr>
          <w:p w14:paraId="3E19C22F" w14:textId="77777777" w:rsidR="00FD309C" w:rsidRPr="00FD309C" w:rsidRDefault="00FD309C" w:rsidP="00FD309C">
            <w:pPr>
              <w:spacing w:line="480" w:lineRule="auto"/>
              <w:rPr>
                <w:sz w:val="16"/>
                <w:szCs w:val="16"/>
              </w:rPr>
            </w:pPr>
            <w:r w:rsidRPr="00FD309C">
              <w:rPr>
                <w:sz w:val="16"/>
                <w:szCs w:val="16"/>
              </w:rPr>
              <w:t>$34</w:t>
            </w:r>
          </w:p>
        </w:tc>
        <w:tc>
          <w:tcPr>
            <w:tcW w:w="0" w:type="auto"/>
            <w:hideMark/>
          </w:tcPr>
          <w:p w14:paraId="7D3B65F4" w14:textId="77777777" w:rsidR="00FD309C" w:rsidRPr="00FD309C" w:rsidRDefault="00FD309C" w:rsidP="00FD309C">
            <w:pPr>
              <w:spacing w:line="480" w:lineRule="auto"/>
              <w:rPr>
                <w:sz w:val="16"/>
                <w:szCs w:val="16"/>
              </w:rPr>
            </w:pPr>
            <w:r w:rsidRPr="00FD309C">
              <w:rPr>
                <w:sz w:val="16"/>
                <w:szCs w:val="16"/>
              </w:rPr>
              <w:t>$27,500</w:t>
            </w:r>
          </w:p>
        </w:tc>
        <w:tc>
          <w:tcPr>
            <w:tcW w:w="0" w:type="auto"/>
            <w:hideMark/>
          </w:tcPr>
          <w:p w14:paraId="6AC33C85" w14:textId="77777777" w:rsidR="00FD309C" w:rsidRPr="00FD309C" w:rsidRDefault="00FD309C" w:rsidP="00FD309C">
            <w:pPr>
              <w:spacing w:line="480" w:lineRule="auto"/>
              <w:rPr>
                <w:sz w:val="16"/>
                <w:szCs w:val="16"/>
              </w:rPr>
            </w:pPr>
            <w:r w:rsidRPr="00FD309C">
              <w:rPr>
                <w:sz w:val="16"/>
                <w:szCs w:val="16"/>
              </w:rPr>
              <w:t>$17,000</w:t>
            </w:r>
          </w:p>
        </w:tc>
        <w:tc>
          <w:tcPr>
            <w:tcW w:w="0" w:type="auto"/>
            <w:hideMark/>
          </w:tcPr>
          <w:p w14:paraId="5EF5B652" w14:textId="77777777" w:rsidR="00FD309C" w:rsidRPr="00FD309C" w:rsidRDefault="00FD309C" w:rsidP="00FD309C">
            <w:pPr>
              <w:spacing w:line="480" w:lineRule="auto"/>
              <w:rPr>
                <w:sz w:val="16"/>
                <w:szCs w:val="16"/>
              </w:rPr>
            </w:pPr>
            <w:r w:rsidRPr="00FD309C">
              <w:rPr>
                <w:sz w:val="16"/>
                <w:szCs w:val="16"/>
              </w:rPr>
              <w:t>$9,500</w:t>
            </w:r>
          </w:p>
        </w:tc>
        <w:tc>
          <w:tcPr>
            <w:tcW w:w="0" w:type="auto"/>
            <w:hideMark/>
          </w:tcPr>
          <w:p w14:paraId="1360593C" w14:textId="77777777" w:rsidR="00FD309C" w:rsidRPr="00FD309C" w:rsidRDefault="00FD309C" w:rsidP="00FD309C">
            <w:pPr>
              <w:spacing w:line="480" w:lineRule="auto"/>
              <w:rPr>
                <w:sz w:val="16"/>
                <w:szCs w:val="16"/>
              </w:rPr>
            </w:pPr>
            <w:r w:rsidRPr="00FD309C">
              <w:rPr>
                <w:sz w:val="16"/>
                <w:szCs w:val="16"/>
              </w:rPr>
              <w:t>Accept – after setup cost still profitable</w:t>
            </w:r>
          </w:p>
        </w:tc>
      </w:tr>
      <w:tr w:rsidR="00FD309C" w:rsidRPr="00FD309C" w14:paraId="7ED1652C" w14:textId="77777777" w:rsidTr="00FD309C">
        <w:tc>
          <w:tcPr>
            <w:tcW w:w="0" w:type="auto"/>
            <w:hideMark/>
          </w:tcPr>
          <w:p w14:paraId="699F3CD7" w14:textId="77777777" w:rsidR="00FD309C" w:rsidRPr="00FD309C" w:rsidRDefault="00FD309C" w:rsidP="00FD309C">
            <w:pPr>
              <w:spacing w:line="480" w:lineRule="auto"/>
              <w:rPr>
                <w:sz w:val="16"/>
                <w:szCs w:val="16"/>
              </w:rPr>
            </w:pPr>
            <w:r w:rsidRPr="00FD309C">
              <w:rPr>
                <w:b/>
                <w:bCs/>
                <w:sz w:val="16"/>
                <w:szCs w:val="16"/>
              </w:rPr>
              <w:lastRenderedPageBreak/>
              <w:t>Break-Even Price (Idle Capacity)</w:t>
            </w:r>
          </w:p>
        </w:tc>
        <w:tc>
          <w:tcPr>
            <w:tcW w:w="0" w:type="auto"/>
            <w:hideMark/>
          </w:tcPr>
          <w:p w14:paraId="1CEDFB9E"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70DAAB5F" w14:textId="77777777" w:rsidR="00FD309C" w:rsidRPr="00FD309C" w:rsidRDefault="00FD309C" w:rsidP="00FD309C">
            <w:pPr>
              <w:spacing w:line="480" w:lineRule="auto"/>
              <w:rPr>
                <w:sz w:val="16"/>
                <w:szCs w:val="16"/>
              </w:rPr>
            </w:pPr>
            <w:r w:rsidRPr="00FD309C">
              <w:rPr>
                <w:sz w:val="16"/>
                <w:szCs w:val="16"/>
              </w:rPr>
              <w:t>$34</w:t>
            </w:r>
          </w:p>
        </w:tc>
        <w:tc>
          <w:tcPr>
            <w:tcW w:w="0" w:type="auto"/>
            <w:hideMark/>
          </w:tcPr>
          <w:p w14:paraId="0FED4696" w14:textId="77777777" w:rsidR="00FD309C" w:rsidRPr="00FD309C" w:rsidRDefault="00FD309C" w:rsidP="00FD309C">
            <w:pPr>
              <w:spacing w:line="480" w:lineRule="auto"/>
              <w:rPr>
                <w:sz w:val="16"/>
                <w:szCs w:val="16"/>
              </w:rPr>
            </w:pPr>
            <w:r w:rsidRPr="00FD309C">
              <w:rPr>
                <w:sz w:val="16"/>
                <w:szCs w:val="16"/>
              </w:rPr>
              <w:t>$34</w:t>
            </w:r>
          </w:p>
        </w:tc>
        <w:tc>
          <w:tcPr>
            <w:tcW w:w="0" w:type="auto"/>
            <w:hideMark/>
          </w:tcPr>
          <w:p w14:paraId="1CB9B1B3"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1AE2E544"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0D820EE3" w14:textId="77777777" w:rsidR="00FD309C" w:rsidRPr="00FD309C" w:rsidRDefault="00FD309C" w:rsidP="00FD309C">
            <w:pPr>
              <w:spacing w:line="480" w:lineRule="auto"/>
              <w:rPr>
                <w:sz w:val="16"/>
                <w:szCs w:val="16"/>
              </w:rPr>
            </w:pPr>
            <w:r w:rsidRPr="00FD309C">
              <w:rPr>
                <w:sz w:val="16"/>
                <w:szCs w:val="16"/>
              </w:rPr>
              <w:t>$0</w:t>
            </w:r>
          </w:p>
        </w:tc>
        <w:tc>
          <w:tcPr>
            <w:tcW w:w="0" w:type="auto"/>
            <w:hideMark/>
          </w:tcPr>
          <w:p w14:paraId="5181E23F" w14:textId="77777777" w:rsidR="00FD309C" w:rsidRPr="00FD309C" w:rsidRDefault="00FD309C" w:rsidP="00FD309C">
            <w:pPr>
              <w:spacing w:line="480" w:lineRule="auto"/>
              <w:rPr>
                <w:sz w:val="16"/>
                <w:szCs w:val="16"/>
              </w:rPr>
            </w:pPr>
            <w:r w:rsidRPr="00FD309C">
              <w:rPr>
                <w:sz w:val="16"/>
                <w:szCs w:val="16"/>
              </w:rPr>
              <w:t>Covers only variable costs, no profit</w:t>
            </w:r>
          </w:p>
        </w:tc>
      </w:tr>
      <w:tr w:rsidR="00FD309C" w:rsidRPr="00FD309C" w14:paraId="7D16283C" w14:textId="77777777" w:rsidTr="00FD309C">
        <w:tc>
          <w:tcPr>
            <w:tcW w:w="0" w:type="auto"/>
            <w:hideMark/>
          </w:tcPr>
          <w:p w14:paraId="42234477" w14:textId="77777777" w:rsidR="00FD309C" w:rsidRPr="00FD309C" w:rsidRDefault="00FD309C" w:rsidP="00FD309C">
            <w:pPr>
              <w:spacing w:line="480" w:lineRule="auto"/>
              <w:rPr>
                <w:sz w:val="16"/>
                <w:szCs w:val="16"/>
              </w:rPr>
            </w:pPr>
            <w:r w:rsidRPr="00FD309C">
              <w:rPr>
                <w:b/>
                <w:bCs/>
                <w:sz w:val="16"/>
                <w:szCs w:val="16"/>
              </w:rPr>
              <w:t>Break-Even Price (With $1,000 Setup)</w:t>
            </w:r>
          </w:p>
        </w:tc>
        <w:tc>
          <w:tcPr>
            <w:tcW w:w="0" w:type="auto"/>
            <w:hideMark/>
          </w:tcPr>
          <w:p w14:paraId="5E067041"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380D6473" w14:textId="77777777" w:rsidR="00FD309C" w:rsidRPr="00FD309C" w:rsidRDefault="00FD309C" w:rsidP="00FD309C">
            <w:pPr>
              <w:spacing w:line="480" w:lineRule="auto"/>
              <w:rPr>
                <w:sz w:val="16"/>
                <w:szCs w:val="16"/>
              </w:rPr>
            </w:pPr>
            <w:r w:rsidRPr="00FD309C">
              <w:rPr>
                <w:sz w:val="16"/>
                <w:szCs w:val="16"/>
              </w:rPr>
              <w:t>$36</w:t>
            </w:r>
          </w:p>
        </w:tc>
        <w:tc>
          <w:tcPr>
            <w:tcW w:w="0" w:type="auto"/>
            <w:hideMark/>
          </w:tcPr>
          <w:p w14:paraId="74D36CC3" w14:textId="77777777" w:rsidR="00FD309C" w:rsidRPr="00FD309C" w:rsidRDefault="00FD309C" w:rsidP="00FD309C">
            <w:pPr>
              <w:spacing w:line="480" w:lineRule="auto"/>
              <w:rPr>
                <w:sz w:val="16"/>
                <w:szCs w:val="16"/>
              </w:rPr>
            </w:pPr>
            <w:r w:rsidRPr="00FD309C">
              <w:rPr>
                <w:sz w:val="16"/>
                <w:szCs w:val="16"/>
              </w:rPr>
              <w:t>$34</w:t>
            </w:r>
          </w:p>
        </w:tc>
        <w:tc>
          <w:tcPr>
            <w:tcW w:w="0" w:type="auto"/>
            <w:hideMark/>
          </w:tcPr>
          <w:p w14:paraId="6E005EA3"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1F3B7F57"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4890E447" w14:textId="77777777" w:rsidR="00FD309C" w:rsidRPr="00FD309C" w:rsidRDefault="00FD309C" w:rsidP="00FD309C">
            <w:pPr>
              <w:spacing w:line="480" w:lineRule="auto"/>
              <w:rPr>
                <w:sz w:val="16"/>
                <w:szCs w:val="16"/>
              </w:rPr>
            </w:pPr>
            <w:r w:rsidRPr="00FD309C">
              <w:rPr>
                <w:sz w:val="16"/>
                <w:szCs w:val="16"/>
              </w:rPr>
              <w:t>$0</w:t>
            </w:r>
          </w:p>
        </w:tc>
        <w:tc>
          <w:tcPr>
            <w:tcW w:w="0" w:type="auto"/>
            <w:hideMark/>
          </w:tcPr>
          <w:p w14:paraId="7992500E" w14:textId="77777777" w:rsidR="00FD309C" w:rsidRPr="00FD309C" w:rsidRDefault="00FD309C" w:rsidP="00FD309C">
            <w:pPr>
              <w:spacing w:line="480" w:lineRule="auto"/>
              <w:rPr>
                <w:sz w:val="16"/>
                <w:szCs w:val="16"/>
              </w:rPr>
            </w:pPr>
            <w:r w:rsidRPr="00FD309C">
              <w:rPr>
                <w:sz w:val="16"/>
                <w:szCs w:val="16"/>
              </w:rPr>
              <w:t>Covers variable + setup cost, no profit</w:t>
            </w:r>
          </w:p>
        </w:tc>
      </w:tr>
      <w:tr w:rsidR="00FD309C" w:rsidRPr="00FD309C" w14:paraId="16227248" w14:textId="77777777" w:rsidTr="00FD309C">
        <w:tc>
          <w:tcPr>
            <w:tcW w:w="0" w:type="auto"/>
            <w:hideMark/>
          </w:tcPr>
          <w:p w14:paraId="56128F70" w14:textId="77777777" w:rsidR="00FD309C" w:rsidRPr="00FD309C" w:rsidRDefault="00FD309C" w:rsidP="00FD309C">
            <w:pPr>
              <w:spacing w:line="480" w:lineRule="auto"/>
              <w:rPr>
                <w:sz w:val="16"/>
                <w:szCs w:val="16"/>
              </w:rPr>
            </w:pPr>
            <w:r w:rsidRPr="00FD309C">
              <w:rPr>
                <w:b/>
                <w:bCs/>
                <w:sz w:val="16"/>
                <w:szCs w:val="16"/>
              </w:rPr>
              <w:t>Break-Even Price (With 200 Units Lost Sales)</w:t>
            </w:r>
          </w:p>
        </w:tc>
        <w:tc>
          <w:tcPr>
            <w:tcW w:w="0" w:type="auto"/>
            <w:hideMark/>
          </w:tcPr>
          <w:p w14:paraId="2115AF74"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57F8C0F8" w14:textId="77777777" w:rsidR="00FD309C" w:rsidRPr="00FD309C" w:rsidRDefault="00FD309C" w:rsidP="00FD309C">
            <w:pPr>
              <w:spacing w:line="480" w:lineRule="auto"/>
              <w:rPr>
                <w:sz w:val="16"/>
                <w:szCs w:val="16"/>
              </w:rPr>
            </w:pPr>
            <w:r w:rsidRPr="00FD309C">
              <w:rPr>
                <w:sz w:val="16"/>
                <w:szCs w:val="16"/>
              </w:rPr>
              <w:t>$46.40</w:t>
            </w:r>
          </w:p>
        </w:tc>
        <w:tc>
          <w:tcPr>
            <w:tcW w:w="0" w:type="auto"/>
            <w:hideMark/>
          </w:tcPr>
          <w:p w14:paraId="7D0FBD09" w14:textId="77777777" w:rsidR="00FD309C" w:rsidRPr="00FD309C" w:rsidRDefault="00FD309C" w:rsidP="00FD309C">
            <w:pPr>
              <w:spacing w:line="480" w:lineRule="auto"/>
              <w:rPr>
                <w:sz w:val="16"/>
                <w:szCs w:val="16"/>
              </w:rPr>
            </w:pPr>
            <w:r w:rsidRPr="00FD309C">
              <w:rPr>
                <w:sz w:val="16"/>
                <w:szCs w:val="16"/>
              </w:rPr>
              <w:t>$34</w:t>
            </w:r>
          </w:p>
        </w:tc>
        <w:tc>
          <w:tcPr>
            <w:tcW w:w="0" w:type="auto"/>
            <w:hideMark/>
          </w:tcPr>
          <w:p w14:paraId="5FD40564"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63DFC8BC" w14:textId="77777777" w:rsidR="00FD309C" w:rsidRPr="00FD309C" w:rsidRDefault="00FD309C" w:rsidP="00FD309C">
            <w:pPr>
              <w:spacing w:line="480" w:lineRule="auto"/>
              <w:rPr>
                <w:sz w:val="16"/>
                <w:szCs w:val="16"/>
              </w:rPr>
            </w:pPr>
            <w:r w:rsidRPr="00FD309C">
              <w:rPr>
                <w:sz w:val="16"/>
                <w:szCs w:val="16"/>
              </w:rPr>
              <w:t>—</w:t>
            </w:r>
          </w:p>
        </w:tc>
        <w:tc>
          <w:tcPr>
            <w:tcW w:w="0" w:type="auto"/>
            <w:hideMark/>
          </w:tcPr>
          <w:p w14:paraId="1B24B45C" w14:textId="77777777" w:rsidR="00FD309C" w:rsidRPr="00FD309C" w:rsidRDefault="00FD309C" w:rsidP="00FD309C">
            <w:pPr>
              <w:spacing w:line="480" w:lineRule="auto"/>
              <w:rPr>
                <w:sz w:val="16"/>
                <w:szCs w:val="16"/>
              </w:rPr>
            </w:pPr>
            <w:r w:rsidRPr="00FD309C">
              <w:rPr>
                <w:sz w:val="16"/>
                <w:szCs w:val="16"/>
              </w:rPr>
              <w:t>$0</w:t>
            </w:r>
          </w:p>
        </w:tc>
        <w:tc>
          <w:tcPr>
            <w:tcW w:w="0" w:type="auto"/>
            <w:hideMark/>
          </w:tcPr>
          <w:p w14:paraId="6A27DBA6" w14:textId="77777777" w:rsidR="00FD309C" w:rsidRPr="00FD309C" w:rsidRDefault="00FD309C" w:rsidP="00FD309C">
            <w:pPr>
              <w:spacing w:line="480" w:lineRule="auto"/>
              <w:rPr>
                <w:sz w:val="16"/>
                <w:szCs w:val="16"/>
              </w:rPr>
            </w:pPr>
            <w:r w:rsidRPr="00FD309C">
              <w:rPr>
                <w:sz w:val="16"/>
                <w:szCs w:val="16"/>
              </w:rPr>
              <w:t>Covers variable + lost CM, no profit</w:t>
            </w:r>
          </w:p>
        </w:tc>
      </w:tr>
    </w:tbl>
    <w:p w14:paraId="5AC4C13D" w14:textId="77777777" w:rsidR="00FD309C" w:rsidRDefault="00FD309C" w:rsidP="00FD309C">
      <w:pPr>
        <w:spacing w:line="480" w:lineRule="auto"/>
      </w:pPr>
    </w:p>
    <w:p w14:paraId="4C402CDD" w14:textId="6900F172" w:rsidR="00FD309C" w:rsidRPr="00695B8D" w:rsidRDefault="00FD309C" w:rsidP="00F310CD">
      <w:pPr>
        <w:spacing w:line="480" w:lineRule="auto"/>
        <w:jc w:val="both"/>
      </w:pPr>
      <w:r w:rsidRPr="00695B8D">
        <w:tab/>
        <w:t>A</w:t>
      </w:r>
      <w:r w:rsidR="00695B8D" w:rsidRPr="00695B8D">
        <w:t>ccording to the</w:t>
      </w:r>
      <w:r w:rsidRPr="00695B8D">
        <w:t xml:space="preserve"> regional retailer offers a one-time order for 500 Athletic Hoodies at a special price of $55/unit. </w:t>
      </w:r>
      <w:r w:rsidR="00695B8D" w:rsidRPr="00695B8D">
        <w:t xml:space="preserve">In accordance with the </w:t>
      </w:r>
      <w:r w:rsidRPr="00695B8D">
        <w:t>product’s regular price is $65, variable cost is $34/unit, and there is sufficient idle capacity to fulfill the order without displacing regular sales. No additional fixed costs are required</w:t>
      </w:r>
      <w:r w:rsidR="00EB1AC1">
        <w:t xml:space="preserve"> </w:t>
      </w:r>
      <w:r w:rsidR="00EB1AC1" w:rsidRPr="00EB1AC1">
        <w:t>(</w:t>
      </w:r>
      <w:proofErr w:type="spellStart"/>
      <w:r w:rsidR="00EB1AC1" w:rsidRPr="00EB1AC1">
        <w:t>Husemann</w:t>
      </w:r>
      <w:proofErr w:type="spellEnd"/>
      <w:r w:rsidR="00EB1AC1" w:rsidRPr="00EB1AC1">
        <w:t xml:space="preserve">, </w:t>
      </w:r>
      <w:proofErr w:type="spellStart"/>
      <w:r w:rsidR="00EB1AC1" w:rsidRPr="00EB1AC1">
        <w:t>Kirste</w:t>
      </w:r>
      <w:proofErr w:type="spellEnd"/>
      <w:r w:rsidR="00EB1AC1" w:rsidRPr="00EB1AC1">
        <w:t xml:space="preserve"> &amp; Stumpf, 2024)</w:t>
      </w:r>
      <w:r w:rsidRPr="00695B8D">
        <w:t>.</w:t>
      </w:r>
    </w:p>
    <w:p w14:paraId="5505F147" w14:textId="77777777" w:rsidR="00FD309C" w:rsidRPr="00FD309C" w:rsidRDefault="00FD309C" w:rsidP="00FD309C">
      <w:pPr>
        <w:spacing w:line="480" w:lineRule="auto"/>
        <w:rPr>
          <w:b/>
          <w:bCs/>
        </w:rPr>
      </w:pPr>
      <w:r w:rsidRPr="00FD309C">
        <w:rPr>
          <w:b/>
          <w:bCs/>
        </w:rPr>
        <w:t>Incremental analysis (base case: idle capacity, no extra fixed costs)</w:t>
      </w:r>
    </w:p>
    <w:p w14:paraId="60060636" w14:textId="77777777" w:rsidR="00FD309C" w:rsidRPr="00FD309C" w:rsidRDefault="00FD309C" w:rsidP="00B675C6">
      <w:pPr>
        <w:numPr>
          <w:ilvl w:val="0"/>
          <w:numId w:val="1"/>
        </w:numPr>
        <w:spacing w:line="480" w:lineRule="auto"/>
      </w:pPr>
      <w:r w:rsidRPr="00FD309C">
        <w:t xml:space="preserve">Incremental revenue = 500 × $55 = </w:t>
      </w:r>
      <w:r w:rsidRPr="00FD309C">
        <w:rPr>
          <w:b/>
          <w:bCs/>
        </w:rPr>
        <w:t>$27,500</w:t>
      </w:r>
    </w:p>
    <w:p w14:paraId="62292227" w14:textId="77777777" w:rsidR="00FD309C" w:rsidRPr="00FD309C" w:rsidRDefault="00FD309C" w:rsidP="00B675C6">
      <w:pPr>
        <w:numPr>
          <w:ilvl w:val="0"/>
          <w:numId w:val="1"/>
        </w:numPr>
        <w:spacing w:line="480" w:lineRule="auto"/>
      </w:pPr>
      <w:r w:rsidRPr="00FD309C">
        <w:t xml:space="preserve">Incremental variable costs = 500 × $34 = </w:t>
      </w:r>
      <w:r w:rsidRPr="00FD309C">
        <w:rPr>
          <w:b/>
          <w:bCs/>
        </w:rPr>
        <w:t>$17,000</w:t>
      </w:r>
    </w:p>
    <w:p w14:paraId="5F101885" w14:textId="77777777" w:rsidR="00FD309C" w:rsidRPr="00FD309C" w:rsidRDefault="00FD309C" w:rsidP="00B675C6">
      <w:pPr>
        <w:numPr>
          <w:ilvl w:val="0"/>
          <w:numId w:val="1"/>
        </w:numPr>
        <w:spacing w:line="480" w:lineRule="auto"/>
      </w:pPr>
      <w:r w:rsidRPr="00FD309C">
        <w:rPr>
          <w:b/>
          <w:bCs/>
        </w:rPr>
        <w:t>Incremental contribution margin (CM)</w:t>
      </w:r>
      <w:r w:rsidRPr="00FD309C">
        <w:t xml:space="preserve"> = $27,500 − $17,000 = </w:t>
      </w:r>
      <w:r w:rsidRPr="00FD309C">
        <w:rPr>
          <w:b/>
          <w:bCs/>
        </w:rPr>
        <w:t>$10,500</w:t>
      </w:r>
    </w:p>
    <w:p w14:paraId="11A07E76" w14:textId="1DA794D6" w:rsidR="00695B8D" w:rsidRDefault="00FD309C" w:rsidP="00695B8D">
      <w:pPr>
        <w:spacing w:line="480" w:lineRule="auto"/>
        <w:ind w:firstLine="360"/>
      </w:pPr>
      <w:r w:rsidRPr="00FD309C">
        <w:rPr>
          <w:b/>
          <w:bCs/>
        </w:rPr>
        <w:t>Decision (base case)</w:t>
      </w:r>
      <w:r w:rsidR="00695B8D">
        <w:rPr>
          <w:b/>
          <w:bCs/>
        </w:rPr>
        <w:t xml:space="preserve"> = </w:t>
      </w:r>
      <w:r w:rsidRPr="00FD309C">
        <w:rPr>
          <w:b/>
          <w:bCs/>
        </w:rPr>
        <w:t>Accept.</w:t>
      </w:r>
    </w:p>
    <w:p w14:paraId="16D83EAA" w14:textId="77777777" w:rsidR="00695B8D" w:rsidRDefault="00695B8D" w:rsidP="00695B8D">
      <w:pPr>
        <w:spacing w:line="480" w:lineRule="auto"/>
        <w:ind w:firstLine="360"/>
      </w:pPr>
      <w:r>
        <w:t xml:space="preserve">So, on the basis of that the </w:t>
      </w:r>
      <w:r w:rsidR="00FD309C" w:rsidRPr="00FD309C">
        <w:t xml:space="preserve">order price covers variable costs and adds </w:t>
      </w:r>
      <w:r w:rsidR="00FD309C" w:rsidRPr="00FD309C">
        <w:rPr>
          <w:b/>
          <w:bCs/>
        </w:rPr>
        <w:t>$10,500</w:t>
      </w:r>
      <w:r w:rsidR="00FD309C" w:rsidRPr="00FD309C">
        <w:t xml:space="preserve"> toward fixed costs and profit.</w:t>
      </w:r>
    </w:p>
    <w:p w14:paraId="5F4D5980" w14:textId="39697B60" w:rsidR="00FD309C" w:rsidRPr="00FD309C" w:rsidRDefault="00695B8D" w:rsidP="00695B8D">
      <w:pPr>
        <w:spacing w:line="480" w:lineRule="auto"/>
        <w:ind w:firstLine="360"/>
      </w:pPr>
      <w:r>
        <w:t xml:space="preserve">It also tends to </w:t>
      </w:r>
      <w:r w:rsidRPr="00FD309C">
        <w:t>fulfill</w:t>
      </w:r>
      <w:r w:rsidR="00FD309C" w:rsidRPr="00FD309C">
        <w:t xml:space="preserve"> the special order displaces </w:t>
      </w:r>
      <w:r w:rsidR="00FD309C" w:rsidRPr="00FD309C">
        <w:rPr>
          <w:b/>
          <w:bCs/>
        </w:rPr>
        <w:t>200 units</w:t>
      </w:r>
      <w:r w:rsidR="00FD309C" w:rsidRPr="00FD309C">
        <w:t xml:space="preserve"> of regular sales.</w:t>
      </w:r>
    </w:p>
    <w:p w14:paraId="356F68F4" w14:textId="77777777" w:rsidR="00FD309C" w:rsidRPr="00FD309C" w:rsidRDefault="00FD309C" w:rsidP="00695B8D">
      <w:pPr>
        <w:spacing w:line="480" w:lineRule="auto"/>
        <w:ind w:firstLine="360"/>
      </w:pPr>
      <w:r w:rsidRPr="00FD309C">
        <w:t xml:space="preserve">CM per regular unit = $65 − $34 = </w:t>
      </w:r>
      <w:r w:rsidRPr="00FD309C">
        <w:rPr>
          <w:b/>
          <w:bCs/>
        </w:rPr>
        <w:t>$31</w:t>
      </w:r>
    </w:p>
    <w:p w14:paraId="2F6B09BD" w14:textId="77777777" w:rsidR="00695B8D" w:rsidRDefault="00FD309C" w:rsidP="00695B8D">
      <w:pPr>
        <w:spacing w:line="480" w:lineRule="auto"/>
        <w:ind w:firstLine="360"/>
      </w:pPr>
      <w:r w:rsidRPr="00FD309C">
        <w:t xml:space="preserve">Lost CM from displacement = 200 × $31 = </w:t>
      </w:r>
      <w:r w:rsidRPr="00FD309C">
        <w:rPr>
          <w:b/>
          <w:bCs/>
        </w:rPr>
        <w:t>$6,200</w:t>
      </w:r>
    </w:p>
    <w:p w14:paraId="73192941" w14:textId="77777777" w:rsidR="00695B8D" w:rsidRDefault="00FD309C" w:rsidP="00695B8D">
      <w:pPr>
        <w:spacing w:line="480" w:lineRule="auto"/>
        <w:ind w:firstLine="360"/>
      </w:pPr>
      <w:r w:rsidRPr="00FD309C">
        <w:t xml:space="preserve">Net CM from accepting = </w:t>
      </w:r>
      <w:r w:rsidRPr="00FD309C">
        <w:rPr>
          <w:b/>
          <w:bCs/>
        </w:rPr>
        <w:t>$10,500 − $6,200 = $4,300</w:t>
      </w:r>
      <w:r w:rsidRPr="00FD309C">
        <w:t xml:space="preserve"> → </w:t>
      </w:r>
      <w:r w:rsidRPr="00FD309C">
        <w:rPr>
          <w:b/>
          <w:bCs/>
        </w:rPr>
        <w:t>Still accept</w:t>
      </w:r>
      <w:r w:rsidRPr="00FD309C">
        <w:t>, but benefit is smaller.</w:t>
      </w:r>
    </w:p>
    <w:p w14:paraId="642F95BA" w14:textId="777DC961" w:rsidR="00FD309C" w:rsidRPr="00FD309C" w:rsidRDefault="00FD309C" w:rsidP="00695B8D">
      <w:pPr>
        <w:spacing w:line="480" w:lineRule="auto"/>
        <w:ind w:firstLine="360"/>
      </w:pPr>
      <w:r w:rsidRPr="00FD309C">
        <w:rPr>
          <w:b/>
          <w:bCs/>
        </w:rPr>
        <w:t>One-time setup cost</w:t>
      </w:r>
      <w:r w:rsidR="00695B8D">
        <w:rPr>
          <w:b/>
          <w:bCs/>
        </w:rPr>
        <w:t xml:space="preserve"> = </w:t>
      </w:r>
      <w:r w:rsidRPr="00FD309C">
        <w:rPr>
          <w:b/>
          <w:bCs/>
        </w:rPr>
        <w:t>$1,000</w:t>
      </w:r>
      <w:r w:rsidRPr="00FD309C">
        <w:t xml:space="preserve"> fixed.</w:t>
      </w:r>
    </w:p>
    <w:p w14:paraId="108FE9EC" w14:textId="77777777" w:rsidR="00FD309C" w:rsidRPr="00FD309C" w:rsidRDefault="00FD309C" w:rsidP="00B675C6">
      <w:pPr>
        <w:numPr>
          <w:ilvl w:val="0"/>
          <w:numId w:val="2"/>
        </w:numPr>
        <w:spacing w:line="480" w:lineRule="auto"/>
      </w:pPr>
      <w:r w:rsidRPr="00FD309C">
        <w:t xml:space="preserve">Net CM = $10,500 − $1,000 = </w:t>
      </w:r>
      <w:r w:rsidRPr="00FD309C">
        <w:rPr>
          <w:b/>
          <w:bCs/>
        </w:rPr>
        <w:t>$9,500</w:t>
      </w:r>
      <w:r w:rsidRPr="00FD309C">
        <w:t xml:space="preserve"> → </w:t>
      </w:r>
      <w:r w:rsidRPr="00FD309C">
        <w:rPr>
          <w:b/>
          <w:bCs/>
        </w:rPr>
        <w:t>Accept</w:t>
      </w:r>
      <w:r w:rsidRPr="00FD309C">
        <w:t>.</w:t>
      </w:r>
    </w:p>
    <w:p w14:paraId="374D2DAF" w14:textId="291A34F3" w:rsidR="00FD309C" w:rsidRPr="00FD309C" w:rsidRDefault="00FD309C" w:rsidP="00695B8D">
      <w:pPr>
        <w:spacing w:line="480" w:lineRule="auto"/>
        <w:ind w:left="720"/>
      </w:pPr>
      <w:r w:rsidRPr="00FD309C">
        <w:rPr>
          <w:b/>
          <w:bCs/>
        </w:rPr>
        <w:lastRenderedPageBreak/>
        <w:t xml:space="preserve">Break-even special </w:t>
      </w:r>
      <w:r w:rsidR="00695B8D" w:rsidRPr="00FD309C">
        <w:rPr>
          <w:b/>
          <w:bCs/>
        </w:rPr>
        <w:t>price</w:t>
      </w:r>
      <w:r w:rsidR="00695B8D">
        <w:t xml:space="preserve"> = </w:t>
      </w:r>
      <w:r w:rsidRPr="00FD309C">
        <w:rPr>
          <w:b/>
          <w:bCs/>
        </w:rPr>
        <w:t>$34</w:t>
      </w:r>
      <w:r w:rsidRPr="00FD309C">
        <w:t xml:space="preserve"> (equals variable cost).</w:t>
      </w:r>
    </w:p>
    <w:p w14:paraId="26DE61A0" w14:textId="6CAC5D6C" w:rsidR="00FD309C" w:rsidRPr="00FD309C" w:rsidRDefault="00FD309C" w:rsidP="00B675C6">
      <w:pPr>
        <w:numPr>
          <w:ilvl w:val="0"/>
          <w:numId w:val="3"/>
        </w:numPr>
        <w:spacing w:line="480" w:lineRule="auto"/>
      </w:pPr>
      <w:r w:rsidRPr="00FD309C">
        <w:t xml:space="preserve">$1,000 setup over 500 units: $34 + ($1,000/500) = </w:t>
      </w:r>
      <w:r w:rsidRPr="00FD309C">
        <w:rPr>
          <w:b/>
          <w:bCs/>
        </w:rPr>
        <w:t>$36</w:t>
      </w:r>
      <w:r w:rsidRPr="00FD309C">
        <w:t>.</w:t>
      </w:r>
    </w:p>
    <w:p w14:paraId="3C5402CE" w14:textId="3F158187" w:rsidR="00FD309C" w:rsidRPr="00FD309C" w:rsidRDefault="00FD309C" w:rsidP="00B675C6">
      <w:pPr>
        <w:numPr>
          <w:ilvl w:val="0"/>
          <w:numId w:val="3"/>
        </w:numPr>
        <w:spacing w:line="480" w:lineRule="auto"/>
      </w:pPr>
      <w:r w:rsidRPr="00FD309C">
        <w:t xml:space="preserve">200 units displaced (opportunity cost): $34 + (200×$31)/500 = $34 + </w:t>
      </w:r>
      <w:r w:rsidRPr="00FD309C">
        <w:rPr>
          <w:b/>
          <w:bCs/>
        </w:rPr>
        <w:t>$12.40</w:t>
      </w:r>
      <w:r w:rsidRPr="00FD309C">
        <w:t xml:space="preserve"> = </w:t>
      </w:r>
      <w:r w:rsidRPr="00FD309C">
        <w:rPr>
          <w:b/>
          <w:bCs/>
        </w:rPr>
        <w:t>$46.40</w:t>
      </w:r>
      <w:r w:rsidRPr="00FD309C">
        <w:t>.</w:t>
      </w:r>
    </w:p>
    <w:p w14:paraId="7DFC5DD7" w14:textId="476F0244" w:rsidR="00FD309C" w:rsidRPr="00FD309C" w:rsidRDefault="00695B8D" w:rsidP="00B675C6">
      <w:pPr>
        <w:numPr>
          <w:ilvl w:val="0"/>
          <w:numId w:val="3"/>
        </w:numPr>
        <w:spacing w:line="480" w:lineRule="auto"/>
      </w:pPr>
      <w:r>
        <w:t>B</w:t>
      </w:r>
      <w:r w:rsidR="00FD309C" w:rsidRPr="00FD309C">
        <w:t>oth displacement and $1,000 setup</w:t>
      </w:r>
      <w:r>
        <w:t xml:space="preserve"> = </w:t>
      </w:r>
      <w:r w:rsidR="00FD309C" w:rsidRPr="00FD309C">
        <w:rPr>
          <w:b/>
          <w:bCs/>
        </w:rPr>
        <w:t>$48.40</w:t>
      </w:r>
      <w:r w:rsidR="00FD309C" w:rsidRPr="00FD309C">
        <w:t>.</w:t>
      </w:r>
    </w:p>
    <w:p w14:paraId="55A90C79" w14:textId="77777777" w:rsidR="00FD309C" w:rsidRPr="00FD309C" w:rsidRDefault="00FD309C" w:rsidP="00695B8D">
      <w:pPr>
        <w:spacing w:line="480" w:lineRule="auto"/>
        <w:jc w:val="center"/>
        <w:rPr>
          <w:b/>
          <w:bCs/>
        </w:rPr>
      </w:pPr>
      <w:r w:rsidRPr="00FD309C">
        <w:rPr>
          <w:b/>
          <w:bCs/>
        </w:rPr>
        <w:t>Risks &amp; qualitative factors (brief)</w:t>
      </w:r>
    </w:p>
    <w:p w14:paraId="77F14C60" w14:textId="77777777" w:rsidR="00695B8D" w:rsidRPr="00695B8D" w:rsidRDefault="00FD309C" w:rsidP="00B675C6">
      <w:pPr>
        <w:numPr>
          <w:ilvl w:val="0"/>
          <w:numId w:val="4"/>
        </w:numPr>
        <w:spacing w:line="480" w:lineRule="auto"/>
      </w:pPr>
      <w:r w:rsidRPr="00FD309C">
        <w:rPr>
          <w:b/>
          <w:bCs/>
        </w:rPr>
        <w:t>Price signaling</w:t>
      </w:r>
    </w:p>
    <w:p w14:paraId="5150521A" w14:textId="0FF15F12" w:rsidR="00FD309C" w:rsidRPr="00FD309C" w:rsidRDefault="00695B8D" w:rsidP="00695B8D">
      <w:pPr>
        <w:spacing w:line="480" w:lineRule="auto"/>
        <w:ind w:firstLine="360"/>
      </w:pPr>
      <w:r w:rsidRPr="00695B8D">
        <w:t xml:space="preserve">It tends to consist of a </w:t>
      </w:r>
      <w:r>
        <w:t>l</w:t>
      </w:r>
      <w:r w:rsidR="00FD309C" w:rsidRPr="00FD309C">
        <w:t>arge discount may anchor future price expectations.</w:t>
      </w:r>
    </w:p>
    <w:p w14:paraId="30436EC9" w14:textId="77777777" w:rsidR="00695B8D" w:rsidRPr="00695B8D" w:rsidRDefault="00FD309C" w:rsidP="00B675C6">
      <w:pPr>
        <w:numPr>
          <w:ilvl w:val="0"/>
          <w:numId w:val="4"/>
        </w:numPr>
        <w:spacing w:line="480" w:lineRule="auto"/>
      </w:pPr>
      <w:r w:rsidRPr="00FD309C">
        <w:rPr>
          <w:b/>
          <w:bCs/>
        </w:rPr>
        <w:t>Channel conflict</w:t>
      </w:r>
    </w:p>
    <w:p w14:paraId="116A889D" w14:textId="2CFA9F63" w:rsidR="00FD309C" w:rsidRPr="00FD309C" w:rsidRDefault="00695B8D" w:rsidP="00695B8D">
      <w:pPr>
        <w:spacing w:line="480" w:lineRule="auto"/>
        <w:ind w:left="360"/>
      </w:pPr>
      <w:r w:rsidRPr="00695B8D">
        <w:t>It tends to be e</w:t>
      </w:r>
      <w:r w:rsidR="00FD309C" w:rsidRPr="00FD309C">
        <w:t>xisting customers may request similar pricing.</w:t>
      </w:r>
    </w:p>
    <w:p w14:paraId="3D9F4FD7" w14:textId="77777777" w:rsidR="00695B8D" w:rsidRPr="00695B8D" w:rsidRDefault="00FD309C" w:rsidP="00B675C6">
      <w:pPr>
        <w:numPr>
          <w:ilvl w:val="0"/>
          <w:numId w:val="4"/>
        </w:numPr>
        <w:spacing w:line="480" w:lineRule="auto"/>
      </w:pPr>
      <w:r w:rsidRPr="00FD309C">
        <w:rPr>
          <w:b/>
          <w:bCs/>
        </w:rPr>
        <w:t>Brand positioning</w:t>
      </w:r>
    </w:p>
    <w:p w14:paraId="3F07A85B" w14:textId="089E6351" w:rsidR="00FD309C" w:rsidRPr="00FD309C" w:rsidRDefault="00695B8D" w:rsidP="00695B8D">
      <w:pPr>
        <w:spacing w:line="480" w:lineRule="auto"/>
        <w:ind w:left="360"/>
      </w:pPr>
      <w:r w:rsidRPr="00695B8D">
        <w:t>It tends to e</w:t>
      </w:r>
      <w:r w:rsidR="00FD309C" w:rsidRPr="00FD309C">
        <w:t>nsure the offer is clearly “one-time / special terms” to avoid erosion of list price integrity.</w:t>
      </w:r>
    </w:p>
    <w:p w14:paraId="23D2832D" w14:textId="77777777" w:rsidR="00FD309C" w:rsidRPr="00FD309C" w:rsidRDefault="00FD309C" w:rsidP="00FD309C">
      <w:pPr>
        <w:spacing w:line="480" w:lineRule="auto"/>
        <w:rPr>
          <w:b/>
          <w:bCs/>
        </w:rPr>
      </w:pPr>
      <w:r w:rsidRPr="00FD309C">
        <w:rPr>
          <w:b/>
          <w:bCs/>
        </w:rPr>
        <w:t>Negotiation options that can be more advantageous</w:t>
      </w:r>
    </w:p>
    <w:p w14:paraId="38A40E38" w14:textId="77777777" w:rsidR="00695B8D" w:rsidRPr="00695B8D" w:rsidRDefault="00FD309C" w:rsidP="00B675C6">
      <w:pPr>
        <w:numPr>
          <w:ilvl w:val="0"/>
          <w:numId w:val="5"/>
        </w:numPr>
        <w:spacing w:line="480" w:lineRule="auto"/>
      </w:pPr>
      <w:r w:rsidRPr="00FD309C">
        <w:rPr>
          <w:b/>
          <w:bCs/>
        </w:rPr>
        <w:t>Bundle to lift CM</w:t>
      </w:r>
    </w:p>
    <w:p w14:paraId="5DFF2033" w14:textId="221C743D" w:rsidR="00FD309C" w:rsidRPr="00FD309C" w:rsidRDefault="00FD309C" w:rsidP="00695B8D">
      <w:pPr>
        <w:spacing w:line="480" w:lineRule="auto"/>
        <w:ind w:left="720"/>
      </w:pPr>
      <w:r w:rsidRPr="00FD309C">
        <w:t xml:space="preserve">Keep </w:t>
      </w:r>
      <w:r w:rsidRPr="00FD309C">
        <w:rPr>
          <w:b/>
          <w:bCs/>
        </w:rPr>
        <w:t>$55</w:t>
      </w:r>
      <w:r w:rsidRPr="00FD309C">
        <w:t xml:space="preserve"> for 500 hoodies </w:t>
      </w:r>
      <w:r w:rsidRPr="00FD309C">
        <w:rPr>
          <w:b/>
          <w:bCs/>
        </w:rPr>
        <w:t>if</w:t>
      </w:r>
      <w:r w:rsidRPr="00FD309C">
        <w:t xml:space="preserve"> the retailer also buys </w:t>
      </w:r>
      <w:r w:rsidRPr="00FD309C">
        <w:rPr>
          <w:b/>
          <w:bCs/>
        </w:rPr>
        <w:t>100 Team Jerseys at regular price</w:t>
      </w:r>
      <w:r w:rsidRPr="00FD309C">
        <w:t>.</w:t>
      </w:r>
    </w:p>
    <w:p w14:paraId="1F832FFA" w14:textId="77777777" w:rsidR="00FD309C" w:rsidRPr="00FD309C" w:rsidRDefault="00FD309C" w:rsidP="00B675C6">
      <w:pPr>
        <w:numPr>
          <w:ilvl w:val="1"/>
          <w:numId w:val="5"/>
        </w:numPr>
        <w:spacing w:line="480" w:lineRule="auto"/>
      </w:pPr>
      <w:r w:rsidRPr="00FD309C">
        <w:t xml:space="preserve">Added CM from jerseys = 100 × ($65 − $34) = </w:t>
      </w:r>
      <w:r w:rsidRPr="00FD309C">
        <w:rPr>
          <w:b/>
          <w:bCs/>
        </w:rPr>
        <w:t>$3,100</w:t>
      </w:r>
      <w:r w:rsidRPr="00FD309C">
        <w:t xml:space="preserve"> → Total deal CM becomes </w:t>
      </w:r>
      <w:r w:rsidRPr="00FD309C">
        <w:rPr>
          <w:b/>
          <w:bCs/>
        </w:rPr>
        <w:t>$13,600</w:t>
      </w:r>
      <w:r w:rsidRPr="00FD309C">
        <w:t xml:space="preserve"> (base case $10,500 + $3,100).</w:t>
      </w:r>
    </w:p>
    <w:p w14:paraId="5223F748" w14:textId="77777777" w:rsidR="00695B8D" w:rsidRPr="00695B8D" w:rsidRDefault="00FD309C" w:rsidP="00B675C6">
      <w:pPr>
        <w:numPr>
          <w:ilvl w:val="0"/>
          <w:numId w:val="5"/>
        </w:numPr>
        <w:spacing w:line="480" w:lineRule="auto"/>
      </w:pPr>
      <w:r w:rsidRPr="00FD309C">
        <w:rPr>
          <w:b/>
          <w:bCs/>
        </w:rPr>
        <w:t>Tiered volume pricing</w:t>
      </w:r>
    </w:p>
    <w:p w14:paraId="06D44F6F" w14:textId="4B3F3012" w:rsidR="00FD309C" w:rsidRPr="00FD309C" w:rsidRDefault="00FD309C" w:rsidP="00695B8D">
      <w:pPr>
        <w:spacing w:line="480" w:lineRule="auto"/>
        <w:ind w:left="720"/>
      </w:pPr>
      <w:r w:rsidRPr="00FD309C">
        <w:t xml:space="preserve">Offer </w:t>
      </w:r>
      <w:r w:rsidRPr="00FD309C">
        <w:rPr>
          <w:b/>
          <w:bCs/>
        </w:rPr>
        <w:t>$55</w:t>
      </w:r>
      <w:r w:rsidRPr="00FD309C">
        <w:t xml:space="preserve"> up to 500 units and </w:t>
      </w:r>
      <w:r w:rsidRPr="00FD309C">
        <w:rPr>
          <w:b/>
          <w:bCs/>
        </w:rPr>
        <w:t>$54</w:t>
      </w:r>
      <w:r w:rsidRPr="00FD309C">
        <w:t xml:space="preserve"> for </w:t>
      </w:r>
      <w:r w:rsidRPr="00FD309C">
        <w:rPr>
          <w:b/>
          <w:bCs/>
        </w:rPr>
        <w:t>≥700 units</w:t>
      </w:r>
      <w:r w:rsidRPr="00FD309C">
        <w:t xml:space="preserve"> (if capacity allows).</w:t>
      </w:r>
    </w:p>
    <w:p w14:paraId="0ACAE6FA" w14:textId="77777777" w:rsidR="00A12D90" w:rsidRDefault="00FD309C" w:rsidP="00A12D90">
      <w:pPr>
        <w:spacing w:line="480" w:lineRule="auto"/>
        <w:ind w:left="1440"/>
      </w:pPr>
      <w:r w:rsidRPr="00FD309C">
        <w:t xml:space="preserve">At 700 units @ $54: CM = 700 × ($54 − $34) = </w:t>
      </w:r>
      <w:r w:rsidRPr="00FD309C">
        <w:rPr>
          <w:b/>
          <w:bCs/>
        </w:rPr>
        <w:t>$14,000</w:t>
      </w:r>
      <w:r w:rsidRPr="00FD309C">
        <w:t xml:space="preserve"> (vs. $10,500 at 500 units). </w:t>
      </w:r>
    </w:p>
    <w:p w14:paraId="19F7FEFD" w14:textId="695949C0" w:rsidR="00FD309C" w:rsidRPr="00FD309C" w:rsidRDefault="00A12D90" w:rsidP="00A12D90">
      <w:pPr>
        <w:spacing w:line="480" w:lineRule="auto"/>
        <w:ind w:left="1440"/>
      </w:pPr>
      <w:r>
        <w:t xml:space="preserve">However, the results </w:t>
      </w:r>
      <w:r w:rsidR="00EB1AC1">
        <w:t>tend</w:t>
      </w:r>
      <w:r>
        <w:t xml:space="preserve"> to e</w:t>
      </w:r>
      <w:r w:rsidR="00FD309C" w:rsidRPr="00FD309C">
        <w:t>nsure the extra 200 units don’t crowd out higher-margin regular sales.</w:t>
      </w:r>
    </w:p>
    <w:p w14:paraId="59FDE316" w14:textId="70BE654B" w:rsidR="00FD309C" w:rsidRPr="00FD309C" w:rsidRDefault="00FD309C" w:rsidP="00B675C6">
      <w:pPr>
        <w:numPr>
          <w:ilvl w:val="0"/>
          <w:numId w:val="5"/>
        </w:numPr>
        <w:spacing w:line="480" w:lineRule="auto"/>
      </w:pPr>
      <w:r w:rsidRPr="00FD309C">
        <w:rPr>
          <w:b/>
          <w:bCs/>
        </w:rPr>
        <w:lastRenderedPageBreak/>
        <w:t>Cost-down variant</w:t>
      </w:r>
      <w:r w:rsidR="00A12D90">
        <w:rPr>
          <w:b/>
          <w:bCs/>
        </w:rPr>
        <w:t xml:space="preserve"> = </w:t>
      </w:r>
      <w:r w:rsidRPr="00FD309C">
        <w:t xml:space="preserve">hoodie (fewer colorways/prints) that </w:t>
      </w:r>
      <w:r w:rsidRPr="00FD309C">
        <w:rPr>
          <w:b/>
          <w:bCs/>
        </w:rPr>
        <w:t>reduces variable cost by $2</w:t>
      </w:r>
      <w:r w:rsidRPr="00FD309C">
        <w:t xml:space="preserve"> to </w:t>
      </w:r>
      <w:r w:rsidRPr="00FD309C">
        <w:rPr>
          <w:b/>
          <w:bCs/>
        </w:rPr>
        <w:t>$32/unit</w:t>
      </w:r>
      <w:r w:rsidRPr="00FD309C">
        <w:t xml:space="preserve"> at the same $55 price.</w:t>
      </w:r>
    </w:p>
    <w:p w14:paraId="7BFD9F27" w14:textId="77777777" w:rsidR="00FD309C" w:rsidRPr="00FD309C" w:rsidRDefault="00FD309C" w:rsidP="00B675C6">
      <w:pPr>
        <w:numPr>
          <w:ilvl w:val="1"/>
          <w:numId w:val="5"/>
        </w:numPr>
        <w:spacing w:line="480" w:lineRule="auto"/>
      </w:pPr>
      <w:r w:rsidRPr="00FD309C">
        <w:t xml:space="preserve">New CM per unit = $55 − $32 = </w:t>
      </w:r>
      <w:r w:rsidRPr="00FD309C">
        <w:rPr>
          <w:b/>
          <w:bCs/>
        </w:rPr>
        <w:t>$23</w:t>
      </w:r>
      <w:r w:rsidRPr="00FD309C">
        <w:t xml:space="preserve"> → CM on 500 units = </w:t>
      </w:r>
      <w:r w:rsidRPr="00FD309C">
        <w:rPr>
          <w:b/>
          <w:bCs/>
        </w:rPr>
        <w:t>$11,500</w:t>
      </w:r>
      <w:r w:rsidRPr="00FD309C">
        <w:t xml:space="preserve"> (an extra </w:t>
      </w:r>
      <w:r w:rsidRPr="00FD309C">
        <w:rPr>
          <w:b/>
          <w:bCs/>
        </w:rPr>
        <w:t>$1,000</w:t>
      </w:r>
      <w:r w:rsidRPr="00FD309C">
        <w:t xml:space="preserve"> vs. base case).</w:t>
      </w:r>
    </w:p>
    <w:p w14:paraId="4211640A" w14:textId="77777777" w:rsidR="00A12D90" w:rsidRPr="00A12D90" w:rsidRDefault="00FD309C" w:rsidP="00B675C6">
      <w:pPr>
        <w:numPr>
          <w:ilvl w:val="0"/>
          <w:numId w:val="5"/>
        </w:numPr>
        <w:spacing w:line="480" w:lineRule="auto"/>
      </w:pPr>
      <w:r w:rsidRPr="00FD309C">
        <w:rPr>
          <w:b/>
          <w:bCs/>
        </w:rPr>
        <w:t>Off-peak scheduling</w:t>
      </w:r>
    </w:p>
    <w:p w14:paraId="4BCF850B" w14:textId="13431127" w:rsidR="00FD309C" w:rsidRPr="00FD309C" w:rsidRDefault="00A12D90" w:rsidP="00A12D90">
      <w:pPr>
        <w:spacing w:line="480" w:lineRule="auto"/>
        <w:ind w:left="720"/>
      </w:pPr>
      <w:r>
        <w:rPr>
          <w:b/>
          <w:bCs/>
        </w:rPr>
        <w:t>It tends to c</w:t>
      </w:r>
      <w:r w:rsidR="00FD309C" w:rsidRPr="00FD309C">
        <w:t xml:space="preserve">ommit to produce during </w:t>
      </w:r>
      <w:r w:rsidR="00FD309C" w:rsidRPr="00FD309C">
        <w:rPr>
          <w:b/>
          <w:bCs/>
        </w:rPr>
        <w:t>low-utilization weeks</w:t>
      </w:r>
      <w:r>
        <w:t xml:space="preserve"> and </w:t>
      </w:r>
      <w:r w:rsidR="00FD309C" w:rsidRPr="00FD309C">
        <w:t xml:space="preserve">keep the </w:t>
      </w:r>
      <w:r w:rsidR="00FD309C" w:rsidRPr="00FD309C">
        <w:rPr>
          <w:b/>
          <w:bCs/>
        </w:rPr>
        <w:t>$55</w:t>
      </w:r>
      <w:r w:rsidR="00FD309C" w:rsidRPr="00FD309C">
        <w:t xml:space="preserve"> price, avoid crowd-out risk, and may negotiate a modest </w:t>
      </w:r>
      <w:r w:rsidR="00FD309C" w:rsidRPr="00FD309C">
        <w:rPr>
          <w:b/>
          <w:bCs/>
        </w:rPr>
        <w:t>deposit</w:t>
      </w:r>
      <w:r w:rsidR="00FD309C" w:rsidRPr="00FD309C">
        <w:t xml:space="preserve"> to cover any custom materials.</w:t>
      </w:r>
    </w:p>
    <w:p w14:paraId="24599DAB" w14:textId="732FC3CB" w:rsidR="00FD309C" w:rsidRPr="00835D81" w:rsidRDefault="00FD309C" w:rsidP="00FD309C">
      <w:pPr>
        <w:spacing w:line="480" w:lineRule="auto"/>
      </w:pPr>
    </w:p>
    <w:p w14:paraId="1BB6E878" w14:textId="77777777" w:rsidR="00C42A69" w:rsidRDefault="00C42A69" w:rsidP="00C42A69">
      <w:pPr>
        <w:spacing w:line="480" w:lineRule="auto"/>
        <w:jc w:val="center"/>
        <w:rPr>
          <w:b/>
          <w:bCs/>
        </w:rPr>
      </w:pPr>
      <w:r w:rsidRPr="00835D81">
        <w:rPr>
          <w:b/>
          <w:bCs/>
        </w:rPr>
        <w:t>Product Discontinuation</w:t>
      </w:r>
    </w:p>
    <w:tbl>
      <w:tblPr>
        <w:tblStyle w:val="TableGrid"/>
        <w:tblW w:w="5000" w:type="pct"/>
        <w:tblLook w:val="04A0" w:firstRow="1" w:lastRow="0" w:firstColumn="1" w:lastColumn="0" w:noHBand="0" w:noVBand="1"/>
      </w:tblPr>
      <w:tblGrid>
        <w:gridCol w:w="3714"/>
        <w:gridCol w:w="1270"/>
        <w:gridCol w:w="4366"/>
      </w:tblGrid>
      <w:tr w:rsidR="002F63FD" w:rsidRPr="002F63FD" w14:paraId="715F8EEC" w14:textId="77777777" w:rsidTr="0057331C">
        <w:tc>
          <w:tcPr>
            <w:tcW w:w="1986" w:type="pct"/>
            <w:hideMark/>
          </w:tcPr>
          <w:p w14:paraId="66C59057" w14:textId="77777777" w:rsidR="002F63FD" w:rsidRPr="002F63FD" w:rsidRDefault="002F63FD" w:rsidP="002F63FD">
            <w:pPr>
              <w:spacing w:line="480" w:lineRule="auto"/>
              <w:rPr>
                <w:b/>
                <w:bCs/>
                <w:sz w:val="16"/>
                <w:szCs w:val="16"/>
              </w:rPr>
            </w:pPr>
            <w:r w:rsidRPr="002F63FD">
              <w:rPr>
                <w:b/>
                <w:bCs/>
                <w:sz w:val="16"/>
                <w:szCs w:val="16"/>
              </w:rPr>
              <w:t>Item</w:t>
            </w:r>
          </w:p>
        </w:tc>
        <w:tc>
          <w:tcPr>
            <w:tcW w:w="679" w:type="pct"/>
            <w:hideMark/>
          </w:tcPr>
          <w:p w14:paraId="443F373A" w14:textId="77777777" w:rsidR="002F63FD" w:rsidRPr="002F63FD" w:rsidRDefault="002F63FD" w:rsidP="002F63FD">
            <w:pPr>
              <w:spacing w:line="480" w:lineRule="auto"/>
              <w:rPr>
                <w:b/>
                <w:bCs/>
                <w:sz w:val="16"/>
                <w:szCs w:val="16"/>
              </w:rPr>
            </w:pPr>
            <w:r w:rsidRPr="002F63FD">
              <w:rPr>
                <w:b/>
                <w:bCs/>
                <w:sz w:val="16"/>
                <w:szCs w:val="16"/>
              </w:rPr>
              <w:t>Amount ($)</w:t>
            </w:r>
          </w:p>
        </w:tc>
        <w:tc>
          <w:tcPr>
            <w:tcW w:w="2335" w:type="pct"/>
            <w:hideMark/>
          </w:tcPr>
          <w:p w14:paraId="48369784" w14:textId="77777777" w:rsidR="002F63FD" w:rsidRPr="002F63FD" w:rsidRDefault="002F63FD" w:rsidP="002F63FD">
            <w:pPr>
              <w:spacing w:line="480" w:lineRule="auto"/>
              <w:rPr>
                <w:b/>
                <w:bCs/>
                <w:sz w:val="16"/>
                <w:szCs w:val="16"/>
              </w:rPr>
            </w:pPr>
            <w:r w:rsidRPr="002F63FD">
              <w:rPr>
                <w:b/>
                <w:bCs/>
                <w:sz w:val="16"/>
                <w:szCs w:val="16"/>
              </w:rPr>
              <w:t>Notes</w:t>
            </w:r>
          </w:p>
        </w:tc>
      </w:tr>
      <w:tr w:rsidR="002F63FD" w:rsidRPr="002F63FD" w14:paraId="656D5498" w14:textId="77777777" w:rsidTr="0057331C">
        <w:tc>
          <w:tcPr>
            <w:tcW w:w="1986" w:type="pct"/>
            <w:hideMark/>
          </w:tcPr>
          <w:p w14:paraId="79FAEA1E" w14:textId="77777777" w:rsidR="002F63FD" w:rsidRPr="002F63FD" w:rsidRDefault="002F63FD" w:rsidP="002F63FD">
            <w:pPr>
              <w:spacing w:line="480" w:lineRule="auto"/>
              <w:rPr>
                <w:sz w:val="16"/>
                <w:szCs w:val="16"/>
              </w:rPr>
            </w:pPr>
            <w:r w:rsidRPr="002F63FD">
              <w:rPr>
                <w:sz w:val="16"/>
                <w:szCs w:val="16"/>
              </w:rPr>
              <w:t>Annual Sales Revenue</w:t>
            </w:r>
          </w:p>
        </w:tc>
        <w:tc>
          <w:tcPr>
            <w:tcW w:w="679" w:type="pct"/>
            <w:hideMark/>
          </w:tcPr>
          <w:p w14:paraId="29F480CD" w14:textId="77777777" w:rsidR="002F63FD" w:rsidRPr="002F63FD" w:rsidRDefault="002F63FD" w:rsidP="002F63FD">
            <w:pPr>
              <w:spacing w:line="480" w:lineRule="auto"/>
              <w:rPr>
                <w:sz w:val="16"/>
                <w:szCs w:val="16"/>
              </w:rPr>
            </w:pPr>
            <w:r w:rsidRPr="002F63FD">
              <w:rPr>
                <w:sz w:val="16"/>
                <w:szCs w:val="16"/>
              </w:rPr>
              <w:t>80,000</w:t>
            </w:r>
          </w:p>
        </w:tc>
        <w:tc>
          <w:tcPr>
            <w:tcW w:w="2335" w:type="pct"/>
            <w:hideMark/>
          </w:tcPr>
          <w:p w14:paraId="23FE14B6" w14:textId="77777777" w:rsidR="002F63FD" w:rsidRPr="002F63FD" w:rsidRDefault="002F63FD" w:rsidP="002F63FD">
            <w:pPr>
              <w:spacing w:line="480" w:lineRule="auto"/>
              <w:rPr>
                <w:sz w:val="16"/>
                <w:szCs w:val="16"/>
              </w:rPr>
            </w:pPr>
            <w:r w:rsidRPr="002F63FD">
              <w:rPr>
                <w:sz w:val="16"/>
                <w:szCs w:val="16"/>
              </w:rPr>
              <w:t>4,000 units × $20 each</w:t>
            </w:r>
          </w:p>
        </w:tc>
      </w:tr>
      <w:tr w:rsidR="002F63FD" w:rsidRPr="002F63FD" w14:paraId="142E0614" w14:textId="77777777" w:rsidTr="0057331C">
        <w:tc>
          <w:tcPr>
            <w:tcW w:w="1986" w:type="pct"/>
            <w:hideMark/>
          </w:tcPr>
          <w:p w14:paraId="2E533A30" w14:textId="77777777" w:rsidR="002F63FD" w:rsidRPr="002F63FD" w:rsidRDefault="002F63FD" w:rsidP="002F63FD">
            <w:pPr>
              <w:spacing w:line="480" w:lineRule="auto"/>
              <w:rPr>
                <w:sz w:val="16"/>
                <w:szCs w:val="16"/>
              </w:rPr>
            </w:pPr>
            <w:r w:rsidRPr="002F63FD">
              <w:rPr>
                <w:sz w:val="16"/>
                <w:szCs w:val="16"/>
              </w:rPr>
              <w:t>Annual Variable Costs</w:t>
            </w:r>
          </w:p>
        </w:tc>
        <w:tc>
          <w:tcPr>
            <w:tcW w:w="679" w:type="pct"/>
            <w:hideMark/>
          </w:tcPr>
          <w:p w14:paraId="49EC1DA7" w14:textId="77777777" w:rsidR="002F63FD" w:rsidRPr="002F63FD" w:rsidRDefault="002F63FD" w:rsidP="002F63FD">
            <w:pPr>
              <w:spacing w:line="480" w:lineRule="auto"/>
              <w:rPr>
                <w:sz w:val="16"/>
                <w:szCs w:val="16"/>
              </w:rPr>
            </w:pPr>
            <w:r w:rsidRPr="002F63FD">
              <w:rPr>
                <w:sz w:val="16"/>
                <w:szCs w:val="16"/>
              </w:rPr>
              <w:t>56,000</w:t>
            </w:r>
          </w:p>
        </w:tc>
        <w:tc>
          <w:tcPr>
            <w:tcW w:w="2335" w:type="pct"/>
            <w:hideMark/>
          </w:tcPr>
          <w:p w14:paraId="023A5DD3" w14:textId="77777777" w:rsidR="002F63FD" w:rsidRPr="002F63FD" w:rsidRDefault="002F63FD" w:rsidP="002F63FD">
            <w:pPr>
              <w:spacing w:line="480" w:lineRule="auto"/>
              <w:rPr>
                <w:sz w:val="16"/>
                <w:szCs w:val="16"/>
              </w:rPr>
            </w:pPr>
            <w:r w:rsidRPr="002F63FD">
              <w:rPr>
                <w:sz w:val="16"/>
                <w:szCs w:val="16"/>
              </w:rPr>
              <w:t>4,000 units × $14 each</w:t>
            </w:r>
          </w:p>
        </w:tc>
      </w:tr>
      <w:tr w:rsidR="002F63FD" w:rsidRPr="002F63FD" w14:paraId="2B675163" w14:textId="77777777" w:rsidTr="0057331C">
        <w:tc>
          <w:tcPr>
            <w:tcW w:w="1986" w:type="pct"/>
            <w:hideMark/>
          </w:tcPr>
          <w:p w14:paraId="44ABD701" w14:textId="77777777" w:rsidR="002F63FD" w:rsidRPr="002F63FD" w:rsidRDefault="002F63FD" w:rsidP="002F63FD">
            <w:pPr>
              <w:spacing w:line="480" w:lineRule="auto"/>
              <w:rPr>
                <w:sz w:val="16"/>
                <w:szCs w:val="16"/>
              </w:rPr>
            </w:pPr>
            <w:r w:rsidRPr="002F63FD">
              <w:rPr>
                <w:sz w:val="16"/>
                <w:szCs w:val="16"/>
              </w:rPr>
              <w:t>Annual Contribution Margin (CM)</w:t>
            </w:r>
          </w:p>
        </w:tc>
        <w:tc>
          <w:tcPr>
            <w:tcW w:w="679" w:type="pct"/>
            <w:hideMark/>
          </w:tcPr>
          <w:p w14:paraId="0F641284" w14:textId="77777777" w:rsidR="002F63FD" w:rsidRPr="002F63FD" w:rsidRDefault="002F63FD" w:rsidP="002F63FD">
            <w:pPr>
              <w:spacing w:line="480" w:lineRule="auto"/>
              <w:rPr>
                <w:sz w:val="16"/>
                <w:szCs w:val="16"/>
              </w:rPr>
            </w:pPr>
            <w:r w:rsidRPr="002F63FD">
              <w:rPr>
                <w:sz w:val="16"/>
                <w:szCs w:val="16"/>
              </w:rPr>
              <w:t>24,000</w:t>
            </w:r>
          </w:p>
        </w:tc>
        <w:tc>
          <w:tcPr>
            <w:tcW w:w="2335" w:type="pct"/>
            <w:hideMark/>
          </w:tcPr>
          <w:p w14:paraId="0D26FA91" w14:textId="77777777" w:rsidR="002F63FD" w:rsidRPr="002F63FD" w:rsidRDefault="002F63FD" w:rsidP="002F63FD">
            <w:pPr>
              <w:spacing w:line="480" w:lineRule="auto"/>
              <w:rPr>
                <w:sz w:val="16"/>
                <w:szCs w:val="16"/>
              </w:rPr>
            </w:pPr>
            <w:r w:rsidRPr="002F63FD">
              <w:rPr>
                <w:sz w:val="16"/>
                <w:szCs w:val="16"/>
              </w:rPr>
              <w:t>Sales − Variable Costs</w:t>
            </w:r>
          </w:p>
        </w:tc>
      </w:tr>
      <w:tr w:rsidR="002F63FD" w:rsidRPr="002F63FD" w14:paraId="4F50DE68" w14:textId="77777777" w:rsidTr="0057331C">
        <w:tc>
          <w:tcPr>
            <w:tcW w:w="1986" w:type="pct"/>
            <w:hideMark/>
          </w:tcPr>
          <w:p w14:paraId="35AA0C19" w14:textId="77777777" w:rsidR="002F63FD" w:rsidRPr="002F63FD" w:rsidRDefault="002F63FD" w:rsidP="002F63FD">
            <w:pPr>
              <w:spacing w:line="480" w:lineRule="auto"/>
              <w:rPr>
                <w:sz w:val="16"/>
                <w:szCs w:val="16"/>
              </w:rPr>
            </w:pPr>
            <w:r w:rsidRPr="002F63FD">
              <w:rPr>
                <w:sz w:val="16"/>
                <w:szCs w:val="16"/>
              </w:rPr>
              <w:t>Avoidable Fixed Costs Saved if Stopped</w:t>
            </w:r>
          </w:p>
        </w:tc>
        <w:tc>
          <w:tcPr>
            <w:tcW w:w="679" w:type="pct"/>
            <w:hideMark/>
          </w:tcPr>
          <w:p w14:paraId="579ED959" w14:textId="77777777" w:rsidR="002F63FD" w:rsidRPr="002F63FD" w:rsidRDefault="002F63FD" w:rsidP="002F63FD">
            <w:pPr>
              <w:spacing w:line="480" w:lineRule="auto"/>
              <w:rPr>
                <w:sz w:val="16"/>
                <w:szCs w:val="16"/>
              </w:rPr>
            </w:pPr>
            <w:r w:rsidRPr="002F63FD">
              <w:rPr>
                <w:sz w:val="16"/>
                <w:szCs w:val="16"/>
              </w:rPr>
              <w:t>12,000</w:t>
            </w:r>
          </w:p>
        </w:tc>
        <w:tc>
          <w:tcPr>
            <w:tcW w:w="2335" w:type="pct"/>
            <w:hideMark/>
          </w:tcPr>
          <w:p w14:paraId="04050301" w14:textId="77777777" w:rsidR="002F63FD" w:rsidRPr="002F63FD" w:rsidRDefault="002F63FD" w:rsidP="002F63FD">
            <w:pPr>
              <w:spacing w:line="480" w:lineRule="auto"/>
              <w:rPr>
                <w:sz w:val="16"/>
                <w:szCs w:val="16"/>
              </w:rPr>
            </w:pPr>
            <w:r w:rsidRPr="002F63FD">
              <w:rPr>
                <w:sz w:val="16"/>
                <w:szCs w:val="16"/>
              </w:rPr>
              <w:t>Costs eliminated if product is discontinued</w:t>
            </w:r>
          </w:p>
        </w:tc>
      </w:tr>
      <w:tr w:rsidR="002F63FD" w:rsidRPr="002F63FD" w14:paraId="42235A53" w14:textId="77777777" w:rsidTr="0057331C">
        <w:tc>
          <w:tcPr>
            <w:tcW w:w="1986" w:type="pct"/>
            <w:hideMark/>
          </w:tcPr>
          <w:p w14:paraId="6C711997" w14:textId="77777777" w:rsidR="002F63FD" w:rsidRPr="002F63FD" w:rsidRDefault="002F63FD" w:rsidP="002F63FD">
            <w:pPr>
              <w:spacing w:line="480" w:lineRule="auto"/>
              <w:rPr>
                <w:sz w:val="16"/>
                <w:szCs w:val="16"/>
              </w:rPr>
            </w:pPr>
            <w:r w:rsidRPr="002F63FD">
              <w:rPr>
                <w:sz w:val="16"/>
                <w:szCs w:val="16"/>
              </w:rPr>
              <w:t>Lost Contribution Margin</w:t>
            </w:r>
          </w:p>
        </w:tc>
        <w:tc>
          <w:tcPr>
            <w:tcW w:w="679" w:type="pct"/>
            <w:hideMark/>
          </w:tcPr>
          <w:p w14:paraId="49EF9F94" w14:textId="77777777" w:rsidR="002F63FD" w:rsidRPr="002F63FD" w:rsidRDefault="002F63FD" w:rsidP="002F63FD">
            <w:pPr>
              <w:spacing w:line="480" w:lineRule="auto"/>
              <w:rPr>
                <w:sz w:val="16"/>
                <w:szCs w:val="16"/>
              </w:rPr>
            </w:pPr>
            <w:r w:rsidRPr="002F63FD">
              <w:rPr>
                <w:sz w:val="16"/>
                <w:szCs w:val="16"/>
              </w:rPr>
              <w:t>(24,000)</w:t>
            </w:r>
          </w:p>
        </w:tc>
        <w:tc>
          <w:tcPr>
            <w:tcW w:w="2335" w:type="pct"/>
            <w:hideMark/>
          </w:tcPr>
          <w:p w14:paraId="08C9D5FF" w14:textId="77777777" w:rsidR="002F63FD" w:rsidRPr="002F63FD" w:rsidRDefault="002F63FD" w:rsidP="002F63FD">
            <w:pPr>
              <w:spacing w:line="480" w:lineRule="auto"/>
              <w:rPr>
                <w:sz w:val="16"/>
                <w:szCs w:val="16"/>
              </w:rPr>
            </w:pPr>
            <w:r w:rsidRPr="002F63FD">
              <w:rPr>
                <w:sz w:val="16"/>
                <w:szCs w:val="16"/>
              </w:rPr>
              <w:t>CM lost if discontinued</w:t>
            </w:r>
          </w:p>
        </w:tc>
      </w:tr>
      <w:tr w:rsidR="002F63FD" w:rsidRPr="002F63FD" w14:paraId="3E081448" w14:textId="77777777" w:rsidTr="0057331C">
        <w:tc>
          <w:tcPr>
            <w:tcW w:w="1986" w:type="pct"/>
            <w:hideMark/>
          </w:tcPr>
          <w:p w14:paraId="614CEEF4" w14:textId="77777777" w:rsidR="002F63FD" w:rsidRPr="002F63FD" w:rsidRDefault="002F63FD" w:rsidP="002F63FD">
            <w:pPr>
              <w:spacing w:line="480" w:lineRule="auto"/>
              <w:rPr>
                <w:sz w:val="16"/>
                <w:szCs w:val="16"/>
              </w:rPr>
            </w:pPr>
            <w:r w:rsidRPr="002F63FD">
              <w:rPr>
                <w:sz w:val="16"/>
                <w:szCs w:val="16"/>
              </w:rPr>
              <w:t>Net Effect on Profit</w:t>
            </w:r>
          </w:p>
        </w:tc>
        <w:tc>
          <w:tcPr>
            <w:tcW w:w="679" w:type="pct"/>
            <w:hideMark/>
          </w:tcPr>
          <w:p w14:paraId="5F77E772" w14:textId="77777777" w:rsidR="002F63FD" w:rsidRPr="002F63FD" w:rsidRDefault="002F63FD" w:rsidP="002F63FD">
            <w:pPr>
              <w:spacing w:line="480" w:lineRule="auto"/>
              <w:rPr>
                <w:sz w:val="16"/>
                <w:szCs w:val="16"/>
              </w:rPr>
            </w:pPr>
            <w:r w:rsidRPr="002F63FD">
              <w:rPr>
                <w:sz w:val="16"/>
                <w:szCs w:val="16"/>
              </w:rPr>
              <w:t>(12,000)</w:t>
            </w:r>
          </w:p>
        </w:tc>
        <w:tc>
          <w:tcPr>
            <w:tcW w:w="2335" w:type="pct"/>
            <w:hideMark/>
          </w:tcPr>
          <w:p w14:paraId="15F6F455" w14:textId="77777777" w:rsidR="002F63FD" w:rsidRPr="002F63FD" w:rsidRDefault="002F63FD" w:rsidP="002F63FD">
            <w:pPr>
              <w:spacing w:line="480" w:lineRule="auto"/>
              <w:rPr>
                <w:sz w:val="16"/>
                <w:szCs w:val="16"/>
              </w:rPr>
            </w:pPr>
            <w:r w:rsidRPr="002F63FD">
              <w:rPr>
                <w:sz w:val="16"/>
                <w:szCs w:val="16"/>
              </w:rPr>
              <w:t>Savings − Lost CM</w:t>
            </w:r>
          </w:p>
        </w:tc>
      </w:tr>
      <w:tr w:rsidR="002F63FD" w:rsidRPr="002F63FD" w14:paraId="3F5CB29F" w14:textId="77777777" w:rsidTr="0057331C">
        <w:tc>
          <w:tcPr>
            <w:tcW w:w="1986" w:type="pct"/>
            <w:hideMark/>
          </w:tcPr>
          <w:p w14:paraId="56FED8DC" w14:textId="77777777" w:rsidR="002F63FD" w:rsidRPr="002F63FD" w:rsidRDefault="002F63FD" w:rsidP="002F63FD">
            <w:pPr>
              <w:spacing w:line="480" w:lineRule="auto"/>
              <w:rPr>
                <w:sz w:val="16"/>
                <w:szCs w:val="16"/>
              </w:rPr>
            </w:pPr>
            <w:r w:rsidRPr="002F63FD">
              <w:rPr>
                <w:sz w:val="16"/>
                <w:szCs w:val="16"/>
              </w:rPr>
              <w:t>Accounting Decision</w:t>
            </w:r>
          </w:p>
        </w:tc>
        <w:tc>
          <w:tcPr>
            <w:tcW w:w="679" w:type="pct"/>
            <w:hideMark/>
          </w:tcPr>
          <w:p w14:paraId="09D24D70" w14:textId="77777777" w:rsidR="002F63FD" w:rsidRPr="002F63FD" w:rsidRDefault="002F63FD" w:rsidP="002F63FD">
            <w:pPr>
              <w:spacing w:line="480" w:lineRule="auto"/>
              <w:rPr>
                <w:sz w:val="16"/>
                <w:szCs w:val="16"/>
              </w:rPr>
            </w:pPr>
            <w:r w:rsidRPr="002F63FD">
              <w:rPr>
                <w:sz w:val="16"/>
                <w:szCs w:val="16"/>
              </w:rPr>
              <w:t>—</w:t>
            </w:r>
          </w:p>
        </w:tc>
        <w:tc>
          <w:tcPr>
            <w:tcW w:w="2335" w:type="pct"/>
            <w:hideMark/>
          </w:tcPr>
          <w:p w14:paraId="63F1692C" w14:textId="77777777" w:rsidR="002F63FD" w:rsidRPr="002F63FD" w:rsidRDefault="002F63FD" w:rsidP="002F63FD">
            <w:pPr>
              <w:spacing w:line="480" w:lineRule="auto"/>
              <w:rPr>
                <w:sz w:val="16"/>
                <w:szCs w:val="16"/>
              </w:rPr>
            </w:pPr>
            <w:r w:rsidRPr="002F63FD">
              <w:rPr>
                <w:sz w:val="16"/>
                <w:szCs w:val="16"/>
              </w:rPr>
              <w:t>Keep product — discontinuation reduces profit</w:t>
            </w:r>
          </w:p>
        </w:tc>
      </w:tr>
    </w:tbl>
    <w:p w14:paraId="44373946" w14:textId="77777777" w:rsidR="002F63FD" w:rsidRPr="00835D81" w:rsidRDefault="002F63FD" w:rsidP="002F63FD">
      <w:pPr>
        <w:spacing w:line="480" w:lineRule="auto"/>
        <w:rPr>
          <w:b/>
          <w:bCs/>
        </w:rPr>
      </w:pPr>
    </w:p>
    <w:p w14:paraId="04D94EAE" w14:textId="77777777" w:rsidR="002F63FD" w:rsidRPr="002F63FD" w:rsidRDefault="002F63FD" w:rsidP="002F63FD">
      <w:pPr>
        <w:spacing w:line="480" w:lineRule="auto"/>
        <w:ind w:firstLine="720"/>
      </w:pPr>
      <w:r w:rsidRPr="002F63FD">
        <w:rPr>
          <w:b/>
          <w:bCs/>
        </w:rPr>
        <w:t>Current contribution margin:</w:t>
      </w:r>
    </w:p>
    <w:p w14:paraId="1FAC29CD" w14:textId="77777777" w:rsidR="002F63FD" w:rsidRPr="002F63FD" w:rsidRDefault="002F63FD" w:rsidP="00B675C6">
      <w:pPr>
        <w:numPr>
          <w:ilvl w:val="0"/>
          <w:numId w:val="6"/>
        </w:numPr>
        <w:spacing w:line="480" w:lineRule="auto"/>
      </w:pPr>
      <w:r w:rsidRPr="002F63FD">
        <w:t xml:space="preserve">Sales revenue = 4,000 × $20 = </w:t>
      </w:r>
      <w:r w:rsidRPr="002F63FD">
        <w:rPr>
          <w:b/>
          <w:bCs/>
        </w:rPr>
        <w:t>$80,000</w:t>
      </w:r>
    </w:p>
    <w:p w14:paraId="2ACC66FB" w14:textId="77777777" w:rsidR="002F63FD" w:rsidRPr="002F63FD" w:rsidRDefault="002F63FD" w:rsidP="00B675C6">
      <w:pPr>
        <w:numPr>
          <w:ilvl w:val="0"/>
          <w:numId w:val="6"/>
        </w:numPr>
        <w:spacing w:line="480" w:lineRule="auto"/>
      </w:pPr>
      <w:r w:rsidRPr="002F63FD">
        <w:t xml:space="preserve">Variable costs = 4,000 × $14 = </w:t>
      </w:r>
      <w:r w:rsidRPr="002F63FD">
        <w:rPr>
          <w:b/>
          <w:bCs/>
        </w:rPr>
        <w:t>$56,000</w:t>
      </w:r>
    </w:p>
    <w:p w14:paraId="7E9765ED" w14:textId="77777777" w:rsidR="002F63FD" w:rsidRPr="002F63FD" w:rsidRDefault="002F63FD" w:rsidP="00B675C6">
      <w:pPr>
        <w:numPr>
          <w:ilvl w:val="0"/>
          <w:numId w:val="6"/>
        </w:numPr>
        <w:spacing w:line="480" w:lineRule="auto"/>
      </w:pPr>
      <w:r w:rsidRPr="002F63FD">
        <w:t xml:space="preserve">Contribution margin (CM) = $80,000 − $56,000 = </w:t>
      </w:r>
      <w:r w:rsidRPr="002F63FD">
        <w:rPr>
          <w:b/>
          <w:bCs/>
        </w:rPr>
        <w:t>$24,000</w:t>
      </w:r>
    </w:p>
    <w:p w14:paraId="112E1E86" w14:textId="7562B312" w:rsidR="002F63FD" w:rsidRPr="002F63FD" w:rsidRDefault="002F63FD" w:rsidP="002F63FD">
      <w:pPr>
        <w:spacing w:line="480" w:lineRule="auto"/>
        <w:ind w:firstLine="720"/>
      </w:pPr>
      <w:r w:rsidRPr="002F63FD">
        <w:rPr>
          <w:b/>
          <w:bCs/>
        </w:rPr>
        <w:t>Net benefit/loss if discontinued</w:t>
      </w:r>
    </w:p>
    <w:p w14:paraId="3155C409" w14:textId="77777777" w:rsidR="002F63FD" w:rsidRPr="002F63FD" w:rsidRDefault="002F63FD" w:rsidP="00B675C6">
      <w:pPr>
        <w:numPr>
          <w:ilvl w:val="0"/>
          <w:numId w:val="7"/>
        </w:numPr>
        <w:spacing w:line="480" w:lineRule="auto"/>
      </w:pPr>
      <w:r w:rsidRPr="002F63FD">
        <w:t xml:space="preserve">Lost CM = </w:t>
      </w:r>
      <w:r w:rsidRPr="002F63FD">
        <w:rPr>
          <w:b/>
          <w:bCs/>
        </w:rPr>
        <w:t>$24,000</w:t>
      </w:r>
    </w:p>
    <w:p w14:paraId="424E6071" w14:textId="77777777" w:rsidR="002F63FD" w:rsidRPr="002F63FD" w:rsidRDefault="002F63FD" w:rsidP="00B675C6">
      <w:pPr>
        <w:numPr>
          <w:ilvl w:val="0"/>
          <w:numId w:val="7"/>
        </w:numPr>
        <w:spacing w:line="480" w:lineRule="auto"/>
      </w:pPr>
      <w:r w:rsidRPr="002F63FD">
        <w:t xml:space="preserve">Avoidable fixed cost savings = </w:t>
      </w:r>
      <w:r w:rsidRPr="002F63FD">
        <w:rPr>
          <w:b/>
          <w:bCs/>
        </w:rPr>
        <w:t>$12,000</w:t>
      </w:r>
    </w:p>
    <w:p w14:paraId="53D69A5A" w14:textId="77777777" w:rsidR="002F63FD" w:rsidRPr="002F63FD" w:rsidRDefault="002F63FD" w:rsidP="00B675C6">
      <w:pPr>
        <w:numPr>
          <w:ilvl w:val="0"/>
          <w:numId w:val="7"/>
        </w:numPr>
        <w:spacing w:line="480" w:lineRule="auto"/>
      </w:pPr>
      <w:r w:rsidRPr="002F63FD">
        <w:t xml:space="preserve">Net effect on profit = Savings − Lost CM = </w:t>
      </w:r>
      <w:r w:rsidRPr="002F63FD">
        <w:rPr>
          <w:b/>
          <w:bCs/>
        </w:rPr>
        <w:t>$12,000 − $24,000 = −$12,000</w:t>
      </w:r>
    </w:p>
    <w:p w14:paraId="3E60496C" w14:textId="77777777" w:rsidR="00A12D90" w:rsidRDefault="002F63FD" w:rsidP="0057331C">
      <w:pPr>
        <w:spacing w:line="480" w:lineRule="auto"/>
        <w:ind w:firstLine="720"/>
        <w:rPr>
          <w:b/>
          <w:bCs/>
        </w:rPr>
      </w:pPr>
      <w:r w:rsidRPr="002F63FD">
        <w:rPr>
          <w:b/>
          <w:bCs/>
        </w:rPr>
        <w:lastRenderedPageBreak/>
        <w:t>Decision</w:t>
      </w:r>
    </w:p>
    <w:p w14:paraId="08CF3D1B" w14:textId="09CDCA5F" w:rsidR="002F63FD" w:rsidRPr="002F63FD" w:rsidRDefault="00A12D90" w:rsidP="00F310CD">
      <w:pPr>
        <w:spacing w:line="480" w:lineRule="auto"/>
        <w:ind w:firstLine="720"/>
        <w:jc w:val="both"/>
      </w:pPr>
      <w:r w:rsidRPr="00EB1AC1">
        <w:t>So, on the basis of that d</w:t>
      </w:r>
      <w:r w:rsidR="002F63FD" w:rsidRPr="002F63FD">
        <w:t>iscontinuing the product would reduce overall profit by $12,000, since the lost CM exceeds avoidable fixed cost savings</w:t>
      </w:r>
      <w:r w:rsidRPr="00EB1AC1">
        <w:t xml:space="preserve"> and f</w:t>
      </w:r>
      <w:r w:rsidR="002F63FD" w:rsidRPr="002F63FD">
        <w:t>rom an accounting perspective, the product should not be discontinued unless strategic factors outweigh the short-term financial loss</w:t>
      </w:r>
      <w:r w:rsidR="00EB1AC1" w:rsidRPr="00EB1AC1">
        <w:t xml:space="preserve"> (</w:t>
      </w:r>
      <w:proofErr w:type="spellStart"/>
      <w:r w:rsidR="00EB1AC1" w:rsidRPr="00EB1AC1">
        <w:t>Pekkari</w:t>
      </w:r>
      <w:proofErr w:type="spellEnd"/>
      <w:r w:rsidR="00EB1AC1" w:rsidRPr="00EB1AC1">
        <w:t xml:space="preserve"> et al., 2024)</w:t>
      </w:r>
      <w:r w:rsidR="002F63FD" w:rsidRPr="002F63FD">
        <w:t>.</w:t>
      </w:r>
    </w:p>
    <w:p w14:paraId="1167E0CB" w14:textId="77777777" w:rsidR="002F63FD" w:rsidRPr="002F63FD" w:rsidRDefault="002F63FD" w:rsidP="002F63FD">
      <w:pPr>
        <w:spacing w:line="480" w:lineRule="auto"/>
        <w:ind w:firstLine="720"/>
        <w:rPr>
          <w:b/>
          <w:bCs/>
        </w:rPr>
      </w:pPr>
      <w:r w:rsidRPr="002F63FD">
        <w:rPr>
          <w:b/>
          <w:bCs/>
        </w:rPr>
        <w:t>Consumer Perspective and Mitigation Strategies</w:t>
      </w:r>
    </w:p>
    <w:p w14:paraId="5927971F" w14:textId="24795725" w:rsidR="002F63FD" w:rsidRPr="002F63FD" w:rsidRDefault="00A12D90" w:rsidP="00F310CD">
      <w:pPr>
        <w:spacing w:line="480" w:lineRule="auto"/>
        <w:ind w:firstLine="720"/>
        <w:jc w:val="both"/>
      </w:pPr>
      <w:r>
        <w:t xml:space="preserve">As per the </w:t>
      </w:r>
      <w:r w:rsidR="002F63FD" w:rsidRPr="002F63FD">
        <w:t xml:space="preserve">consumer standpoint, discontinuing Sports Caps could negatively affect brand loyalty and customer satisfaction, especially if caps serve as affordable entry-level products or carry team branding that strengthens community ties. </w:t>
      </w:r>
      <w:r>
        <w:t>Based on the r</w:t>
      </w:r>
      <w:r w:rsidR="002F63FD" w:rsidRPr="002F63FD">
        <w:t>egular customers who buy caps may reduce purchases of higher-margin items if their preferred accessory is no longer available</w:t>
      </w:r>
      <w:r w:rsidR="00EB1AC1">
        <w:t xml:space="preserve"> </w:t>
      </w:r>
      <w:r w:rsidR="00EB1AC1" w:rsidRPr="00EB1AC1">
        <w:t>(</w:t>
      </w:r>
      <w:proofErr w:type="spellStart"/>
      <w:r w:rsidR="00EB1AC1" w:rsidRPr="00EB1AC1">
        <w:t>Husemann</w:t>
      </w:r>
      <w:proofErr w:type="spellEnd"/>
      <w:r w:rsidR="00EB1AC1" w:rsidRPr="00EB1AC1">
        <w:t xml:space="preserve">, </w:t>
      </w:r>
      <w:proofErr w:type="spellStart"/>
      <w:r w:rsidR="00EB1AC1" w:rsidRPr="00EB1AC1">
        <w:t>Kirste</w:t>
      </w:r>
      <w:proofErr w:type="spellEnd"/>
      <w:r w:rsidR="00EB1AC1" w:rsidRPr="00EB1AC1">
        <w:t xml:space="preserve"> &amp; Stumpf, 2024)</w:t>
      </w:r>
      <w:r w:rsidR="002F63FD" w:rsidRPr="002F63FD">
        <w:t>.</w:t>
      </w:r>
    </w:p>
    <w:p w14:paraId="136A3066" w14:textId="7EAA5CAD" w:rsidR="002F63FD" w:rsidRPr="002F63FD" w:rsidRDefault="00A12D90" w:rsidP="00F310CD">
      <w:pPr>
        <w:spacing w:line="480" w:lineRule="auto"/>
        <w:ind w:firstLine="720"/>
        <w:jc w:val="both"/>
      </w:pPr>
      <w:r>
        <w:t xml:space="preserve">However, it is important to understand that in order to </w:t>
      </w:r>
      <w:r w:rsidR="002F63FD" w:rsidRPr="002F63FD">
        <w:t xml:space="preserve">mitigate these effects, the business </w:t>
      </w:r>
      <w:r w:rsidR="00EB1AC1" w:rsidRPr="002F63FD">
        <w:t>could</w:t>
      </w:r>
      <w:r>
        <w:t xml:space="preserve"> o</w:t>
      </w:r>
      <w:r w:rsidR="002F63FD" w:rsidRPr="002F63FD">
        <w:t>ffer a cap with improved features or designs, potentially at a higher CM, to retain customers while improving profitability</w:t>
      </w:r>
      <w:r w:rsidR="00EB1AC1">
        <w:t xml:space="preserve"> </w:t>
      </w:r>
      <w:r w:rsidR="00EB1AC1" w:rsidRPr="00EB1AC1">
        <w:t>(</w:t>
      </w:r>
      <w:proofErr w:type="spellStart"/>
      <w:r w:rsidR="00EB1AC1" w:rsidRPr="00EB1AC1">
        <w:t>Husemann</w:t>
      </w:r>
      <w:proofErr w:type="spellEnd"/>
      <w:r w:rsidR="00EB1AC1" w:rsidRPr="00EB1AC1">
        <w:t xml:space="preserve">, </w:t>
      </w:r>
      <w:proofErr w:type="spellStart"/>
      <w:r w:rsidR="00EB1AC1" w:rsidRPr="00EB1AC1">
        <w:t>Kirste</w:t>
      </w:r>
      <w:proofErr w:type="spellEnd"/>
      <w:r w:rsidR="00EB1AC1" w:rsidRPr="00EB1AC1">
        <w:t xml:space="preserve"> &amp; Stumpf, 2024)</w:t>
      </w:r>
      <w:r w:rsidR="002F63FD" w:rsidRPr="002F63FD">
        <w:t>.</w:t>
      </w:r>
      <w:r>
        <w:t xml:space="preserve"> However, it also includes the b</w:t>
      </w:r>
      <w:r w:rsidR="002F63FD" w:rsidRPr="002F63FD">
        <w:t xml:space="preserve">efore discontinuation, run limited-time promotions bundling caps with jerseys or hoodies to clear inventory and </w:t>
      </w:r>
      <w:r w:rsidRPr="002F63FD">
        <w:t>upsold</w:t>
      </w:r>
      <w:r w:rsidR="002F63FD" w:rsidRPr="002F63FD">
        <w:t xml:space="preserve"> customers</w:t>
      </w:r>
      <w:r w:rsidR="00EB1AC1">
        <w:t xml:space="preserve"> </w:t>
      </w:r>
      <w:r w:rsidR="00EB1AC1" w:rsidRPr="00EB1AC1">
        <w:t>(</w:t>
      </w:r>
      <w:proofErr w:type="spellStart"/>
      <w:r w:rsidR="00EB1AC1" w:rsidRPr="00EB1AC1">
        <w:t>Pekkari</w:t>
      </w:r>
      <w:proofErr w:type="spellEnd"/>
      <w:r w:rsidR="00EB1AC1" w:rsidRPr="00EB1AC1">
        <w:t xml:space="preserve"> et al., 2024)</w:t>
      </w:r>
      <w:r w:rsidR="002F63FD" w:rsidRPr="002F63FD">
        <w:t>.</w:t>
      </w:r>
    </w:p>
    <w:p w14:paraId="17A6AFEF" w14:textId="00665A75" w:rsidR="00C42A69" w:rsidRDefault="00C42A69" w:rsidP="00C42A69">
      <w:pPr>
        <w:spacing w:line="480" w:lineRule="auto"/>
        <w:ind w:firstLine="720"/>
      </w:pPr>
    </w:p>
    <w:p w14:paraId="71A8FD7D" w14:textId="7B118D15" w:rsidR="003B1B71" w:rsidRDefault="003B1B71" w:rsidP="00C42A69">
      <w:pPr>
        <w:spacing w:line="480" w:lineRule="auto"/>
        <w:ind w:firstLine="720"/>
      </w:pPr>
    </w:p>
    <w:p w14:paraId="6B5E63C6" w14:textId="1F269A98" w:rsidR="003B1B71" w:rsidRDefault="003B1B71" w:rsidP="00C42A69">
      <w:pPr>
        <w:spacing w:line="480" w:lineRule="auto"/>
        <w:ind w:firstLine="720"/>
      </w:pPr>
    </w:p>
    <w:p w14:paraId="27056FD8" w14:textId="16A074E8" w:rsidR="003B1B71" w:rsidRDefault="003B1B71" w:rsidP="00C42A69">
      <w:pPr>
        <w:spacing w:line="480" w:lineRule="auto"/>
        <w:ind w:firstLine="720"/>
      </w:pPr>
    </w:p>
    <w:p w14:paraId="24B1AE0B" w14:textId="4F6E9398" w:rsidR="003B1B71" w:rsidRDefault="003B1B71" w:rsidP="00C42A69">
      <w:pPr>
        <w:spacing w:line="480" w:lineRule="auto"/>
        <w:ind w:firstLine="720"/>
      </w:pPr>
    </w:p>
    <w:p w14:paraId="6020FF84" w14:textId="77777777" w:rsidR="003B1B71" w:rsidRDefault="003B1B71" w:rsidP="00C42A69">
      <w:pPr>
        <w:spacing w:line="480" w:lineRule="auto"/>
        <w:ind w:firstLine="720"/>
      </w:pPr>
    </w:p>
    <w:p w14:paraId="60C1AEB8" w14:textId="77777777" w:rsidR="002F63FD" w:rsidRPr="000303CE" w:rsidRDefault="002F63FD" w:rsidP="00C42A69">
      <w:pPr>
        <w:spacing w:line="480" w:lineRule="auto"/>
        <w:ind w:firstLine="720"/>
      </w:pPr>
    </w:p>
    <w:p w14:paraId="70B812CD" w14:textId="77777777" w:rsidR="00C42A69" w:rsidRDefault="00C42A69" w:rsidP="00C42A69">
      <w:pPr>
        <w:spacing w:line="480" w:lineRule="auto"/>
        <w:jc w:val="center"/>
        <w:rPr>
          <w:b/>
          <w:bCs/>
        </w:rPr>
      </w:pPr>
      <w:r w:rsidRPr="00835D81">
        <w:rPr>
          <w:b/>
          <w:bCs/>
        </w:rPr>
        <w:lastRenderedPageBreak/>
        <w:t>Make-or-Buy Decision</w:t>
      </w:r>
    </w:p>
    <w:p w14:paraId="68F98D31" w14:textId="0210236C" w:rsidR="0057331C" w:rsidRDefault="0057331C" w:rsidP="00C42A69">
      <w:pPr>
        <w:spacing w:line="480" w:lineRule="auto"/>
        <w:jc w:val="center"/>
        <w:rPr>
          <w:b/>
          <w:bCs/>
        </w:rPr>
      </w:pPr>
      <w:r>
        <w:rPr>
          <w:noProof/>
        </w:rPr>
        <w:drawing>
          <wp:inline distT="0" distB="0" distL="0" distR="0" wp14:anchorId="682401F5" wp14:editId="1A62C816">
            <wp:extent cx="5943600" cy="3928745"/>
            <wp:effectExtent l="0" t="0" r="0" b="0"/>
            <wp:docPr id="1189375257"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put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28745"/>
                    </a:xfrm>
                    <a:prstGeom prst="rect">
                      <a:avLst/>
                    </a:prstGeom>
                    <a:noFill/>
                    <a:ln>
                      <a:noFill/>
                    </a:ln>
                  </pic:spPr>
                </pic:pic>
              </a:graphicData>
            </a:graphic>
          </wp:inline>
        </w:drawing>
      </w:r>
    </w:p>
    <w:p w14:paraId="2E752774" w14:textId="77777777" w:rsidR="0057331C" w:rsidRDefault="0057331C" w:rsidP="00C42A69">
      <w:pPr>
        <w:spacing w:line="480" w:lineRule="auto"/>
        <w:jc w:val="center"/>
        <w:rPr>
          <w:b/>
          <w:bCs/>
        </w:rPr>
      </w:pPr>
    </w:p>
    <w:p w14:paraId="57BEF364" w14:textId="77777777" w:rsidR="0057331C" w:rsidRPr="0057331C" w:rsidRDefault="0057331C" w:rsidP="0057331C">
      <w:pPr>
        <w:spacing w:line="480" w:lineRule="auto"/>
      </w:pPr>
      <w:r>
        <w:rPr>
          <w:b/>
          <w:bCs/>
        </w:rPr>
        <w:tab/>
      </w:r>
      <w:r w:rsidRPr="0057331C">
        <w:t>Relevant in-house production cost (per unit)</w:t>
      </w:r>
    </w:p>
    <w:p w14:paraId="538C32E5" w14:textId="77777777" w:rsidR="0057331C" w:rsidRPr="0057331C" w:rsidRDefault="0057331C" w:rsidP="00B675C6">
      <w:pPr>
        <w:numPr>
          <w:ilvl w:val="0"/>
          <w:numId w:val="8"/>
        </w:numPr>
        <w:spacing w:line="480" w:lineRule="auto"/>
      </w:pPr>
      <w:r w:rsidRPr="0057331C">
        <w:t>Direct Materials = $9</w:t>
      </w:r>
    </w:p>
    <w:p w14:paraId="448966CA" w14:textId="77777777" w:rsidR="0057331C" w:rsidRPr="0057331C" w:rsidRDefault="0057331C" w:rsidP="00B675C6">
      <w:pPr>
        <w:numPr>
          <w:ilvl w:val="0"/>
          <w:numId w:val="8"/>
        </w:numPr>
        <w:spacing w:line="480" w:lineRule="auto"/>
      </w:pPr>
      <w:r w:rsidRPr="0057331C">
        <w:t>Direct Labor = $7</w:t>
      </w:r>
    </w:p>
    <w:p w14:paraId="663926ED" w14:textId="77777777" w:rsidR="0057331C" w:rsidRPr="0057331C" w:rsidRDefault="0057331C" w:rsidP="00B675C6">
      <w:pPr>
        <w:numPr>
          <w:ilvl w:val="0"/>
          <w:numId w:val="8"/>
        </w:numPr>
        <w:spacing w:line="480" w:lineRule="auto"/>
      </w:pPr>
      <w:r w:rsidRPr="0057331C">
        <w:t>Variable Overhead = $3</w:t>
      </w:r>
    </w:p>
    <w:p w14:paraId="3997403E" w14:textId="77777777" w:rsidR="0057331C" w:rsidRPr="0057331C" w:rsidRDefault="0057331C" w:rsidP="00B675C6">
      <w:pPr>
        <w:numPr>
          <w:ilvl w:val="0"/>
          <w:numId w:val="8"/>
        </w:numPr>
        <w:spacing w:line="480" w:lineRule="auto"/>
      </w:pPr>
      <w:r w:rsidRPr="0057331C">
        <w:t>Avoidable Fixed Overhead = $4</w:t>
      </w:r>
    </w:p>
    <w:p w14:paraId="7A8864CF" w14:textId="77777777" w:rsidR="0057331C" w:rsidRPr="0057331C" w:rsidRDefault="0057331C" w:rsidP="00B675C6">
      <w:pPr>
        <w:numPr>
          <w:ilvl w:val="0"/>
          <w:numId w:val="8"/>
        </w:numPr>
        <w:spacing w:line="480" w:lineRule="auto"/>
      </w:pPr>
      <w:r w:rsidRPr="0057331C">
        <w:t>Total relevant cost to make = $23 per unit</w:t>
      </w:r>
    </w:p>
    <w:p w14:paraId="5D9054AE" w14:textId="6F72E498" w:rsidR="0057331C" w:rsidRPr="0057331C" w:rsidRDefault="0057331C" w:rsidP="00A12D90">
      <w:pPr>
        <w:spacing w:line="480" w:lineRule="auto"/>
        <w:ind w:firstLine="360"/>
      </w:pPr>
      <w:r w:rsidRPr="0057331C">
        <w:t>Relevant cost to buy (per unit)</w:t>
      </w:r>
    </w:p>
    <w:p w14:paraId="050D7E3E" w14:textId="77777777" w:rsidR="0057331C" w:rsidRPr="0057331C" w:rsidRDefault="0057331C" w:rsidP="00B675C6">
      <w:pPr>
        <w:numPr>
          <w:ilvl w:val="0"/>
          <w:numId w:val="9"/>
        </w:numPr>
        <w:spacing w:line="480" w:lineRule="auto"/>
      </w:pPr>
      <w:r w:rsidRPr="0057331C">
        <w:t>Purchase Price = $18</w:t>
      </w:r>
    </w:p>
    <w:p w14:paraId="71B0BAA1" w14:textId="77777777" w:rsidR="0057331C" w:rsidRPr="0057331C" w:rsidRDefault="0057331C" w:rsidP="00B675C6">
      <w:pPr>
        <w:numPr>
          <w:ilvl w:val="0"/>
          <w:numId w:val="9"/>
        </w:numPr>
        <w:spacing w:line="480" w:lineRule="auto"/>
      </w:pPr>
      <w:r w:rsidRPr="0057331C">
        <w:t>Remaining Fixed Overhead (unavoidable) = $2</w:t>
      </w:r>
    </w:p>
    <w:p w14:paraId="23F4B5D7" w14:textId="77777777" w:rsidR="0057331C" w:rsidRPr="0057331C" w:rsidRDefault="0057331C" w:rsidP="00B675C6">
      <w:pPr>
        <w:numPr>
          <w:ilvl w:val="0"/>
          <w:numId w:val="9"/>
        </w:numPr>
        <w:spacing w:line="480" w:lineRule="auto"/>
      </w:pPr>
      <w:r w:rsidRPr="0057331C">
        <w:t>Total relevant cost to buy = $20 per unit</w:t>
      </w:r>
    </w:p>
    <w:p w14:paraId="7DF0BC9D" w14:textId="7CCEBF19" w:rsidR="0057331C" w:rsidRPr="0057331C" w:rsidRDefault="0057331C" w:rsidP="00A12D90">
      <w:pPr>
        <w:spacing w:line="480" w:lineRule="auto"/>
        <w:ind w:firstLine="360"/>
      </w:pPr>
      <w:r w:rsidRPr="0057331C">
        <w:lastRenderedPageBreak/>
        <w:t>Decision impact (per unit)</w:t>
      </w:r>
    </w:p>
    <w:p w14:paraId="1780C621" w14:textId="77777777" w:rsidR="0057331C" w:rsidRPr="0057331C" w:rsidRDefault="0057331C" w:rsidP="00B675C6">
      <w:pPr>
        <w:numPr>
          <w:ilvl w:val="0"/>
          <w:numId w:val="10"/>
        </w:numPr>
        <w:spacing w:line="480" w:lineRule="auto"/>
      </w:pPr>
      <w:r w:rsidRPr="0057331C">
        <w:t>Savings if outsourced = $23 − $20 = $3 per unit</w:t>
      </w:r>
    </w:p>
    <w:p w14:paraId="423D9377" w14:textId="140C2FCE" w:rsidR="0057331C" w:rsidRPr="0057331C" w:rsidRDefault="0057331C" w:rsidP="00A12D90">
      <w:pPr>
        <w:spacing w:line="480" w:lineRule="auto"/>
        <w:ind w:firstLine="360"/>
      </w:pPr>
      <w:r w:rsidRPr="0057331C">
        <w:t>Annual impact (assuming 10,000 units)</w:t>
      </w:r>
    </w:p>
    <w:p w14:paraId="4F4F0DE7" w14:textId="77777777" w:rsidR="0057331C" w:rsidRPr="0057331C" w:rsidRDefault="0057331C" w:rsidP="00B675C6">
      <w:pPr>
        <w:numPr>
          <w:ilvl w:val="0"/>
          <w:numId w:val="11"/>
        </w:numPr>
        <w:spacing w:line="480" w:lineRule="auto"/>
      </w:pPr>
      <w:r w:rsidRPr="0057331C">
        <w:t>Annual savings = $3 × 10,000 = $30,000</w:t>
      </w:r>
    </w:p>
    <w:p w14:paraId="33080B37" w14:textId="77777777" w:rsidR="00A12D90" w:rsidRDefault="0057331C" w:rsidP="00A12D90">
      <w:pPr>
        <w:spacing w:line="480" w:lineRule="auto"/>
        <w:ind w:firstLine="720"/>
      </w:pPr>
      <w:r w:rsidRPr="0057331C">
        <w:t>Accounting Decision</w:t>
      </w:r>
    </w:p>
    <w:p w14:paraId="5BAB14EC" w14:textId="2CE9176B" w:rsidR="0057331C" w:rsidRPr="0057331C" w:rsidRDefault="00A12D90" w:rsidP="001B6FF6">
      <w:pPr>
        <w:spacing w:line="480" w:lineRule="auto"/>
        <w:ind w:firstLine="720"/>
        <w:jc w:val="both"/>
      </w:pPr>
      <w:r>
        <w:t>As per the o</w:t>
      </w:r>
      <w:r w:rsidR="0057331C" w:rsidRPr="0057331C">
        <w:t>utsourcing saves $3 per unit, or $30,000 annually, making it financially advantageous in the short term, assuming supplier reliability and product quality are not compromised.</w:t>
      </w:r>
    </w:p>
    <w:p w14:paraId="388FEA44" w14:textId="75826F47" w:rsidR="0057331C" w:rsidRPr="0057331C" w:rsidRDefault="00A12D90" w:rsidP="001B6FF6">
      <w:pPr>
        <w:spacing w:line="480" w:lineRule="auto"/>
        <w:ind w:firstLine="720"/>
        <w:jc w:val="both"/>
      </w:pPr>
      <w:r>
        <w:t xml:space="preserve">As per the </w:t>
      </w:r>
      <w:r w:rsidR="0057331C" w:rsidRPr="0057331C">
        <w:t xml:space="preserve">quality perspective, outsourcing introduces risks such as inconsistent workmanship, material substitutions, and slower response to design changes. </w:t>
      </w:r>
      <w:r>
        <w:t>So, it is important to m</w:t>
      </w:r>
      <w:r w:rsidRPr="0057331C">
        <w:t>aintain</w:t>
      </w:r>
      <w:r w:rsidR="0057331C" w:rsidRPr="0057331C">
        <w:t xml:space="preserve"> brand reputation in sports apparel requires consistent fabric durability, stitching standards, and colorfastness</w:t>
      </w:r>
      <w:r w:rsidR="00EB1AC1">
        <w:t xml:space="preserve"> </w:t>
      </w:r>
      <w:r w:rsidR="00EB1AC1" w:rsidRPr="00EB1AC1">
        <w:t>(</w:t>
      </w:r>
      <w:proofErr w:type="spellStart"/>
      <w:r w:rsidR="00EB1AC1" w:rsidRPr="00EB1AC1">
        <w:t>Husemann</w:t>
      </w:r>
      <w:proofErr w:type="spellEnd"/>
      <w:r w:rsidR="00EB1AC1" w:rsidRPr="00EB1AC1">
        <w:t xml:space="preserve">, </w:t>
      </w:r>
      <w:proofErr w:type="spellStart"/>
      <w:r w:rsidR="00EB1AC1" w:rsidRPr="00EB1AC1">
        <w:t>Kirste</w:t>
      </w:r>
      <w:proofErr w:type="spellEnd"/>
      <w:r w:rsidR="00EB1AC1" w:rsidRPr="00EB1AC1">
        <w:t xml:space="preserve"> &amp; Stumpf, 2024)</w:t>
      </w:r>
      <w:r w:rsidR="0057331C" w:rsidRPr="0057331C">
        <w:t>.</w:t>
      </w:r>
      <w:r>
        <w:t xml:space="preserve"> However, it is also essential to understand that in order to </w:t>
      </w:r>
      <w:r w:rsidR="0057331C" w:rsidRPr="0057331C">
        <w:t>mitigate these risks, the business should</w:t>
      </w:r>
      <w:r>
        <w:t xml:space="preserve"> d</w:t>
      </w:r>
      <w:r w:rsidR="0057331C" w:rsidRPr="0057331C">
        <w:t xml:space="preserve">ocument material types, stitching density, and </w:t>
      </w:r>
      <w:r w:rsidRPr="0057331C">
        <w:t>finish</w:t>
      </w:r>
      <w:r w:rsidR="0057331C" w:rsidRPr="0057331C">
        <w:t xml:space="preserve"> details in supplier contracts.</w:t>
      </w:r>
      <w:r>
        <w:t xml:space="preserve"> However, it also includes the u</w:t>
      </w:r>
      <w:r w:rsidR="0057331C" w:rsidRPr="0057331C">
        <w:t xml:space="preserve">se </w:t>
      </w:r>
      <w:r>
        <w:t xml:space="preserve">of </w:t>
      </w:r>
      <w:r w:rsidR="0057331C" w:rsidRPr="0057331C">
        <w:t>third-party quality control services to test random batches before dispatch</w:t>
      </w:r>
      <w:r w:rsidR="00EB1AC1">
        <w:t xml:space="preserve"> </w:t>
      </w:r>
      <w:r w:rsidR="00EB1AC1" w:rsidRPr="00EB1AC1">
        <w:t>(</w:t>
      </w:r>
      <w:proofErr w:type="spellStart"/>
      <w:r w:rsidR="00EB1AC1" w:rsidRPr="00EB1AC1">
        <w:t>Pekkari</w:t>
      </w:r>
      <w:proofErr w:type="spellEnd"/>
      <w:r w:rsidR="00EB1AC1" w:rsidRPr="00EB1AC1">
        <w:t xml:space="preserve"> et al., 2024)</w:t>
      </w:r>
      <w:r w:rsidR="0057331C" w:rsidRPr="0057331C">
        <w:t>.</w:t>
      </w:r>
    </w:p>
    <w:p w14:paraId="7F79F8D8" w14:textId="7A4FC14F" w:rsidR="000455F6" w:rsidRDefault="000455F6" w:rsidP="00C42A69">
      <w:pPr>
        <w:spacing w:line="480" w:lineRule="auto"/>
        <w:jc w:val="center"/>
        <w:rPr>
          <w:b/>
          <w:color w:val="000000"/>
        </w:rPr>
      </w:pPr>
      <w:r w:rsidRPr="007E1727">
        <w:rPr>
          <w:b/>
          <w:color w:val="000000"/>
        </w:rPr>
        <w:t>Conclusion</w:t>
      </w:r>
    </w:p>
    <w:p w14:paraId="3029530E" w14:textId="694D87E0" w:rsidR="0057331C" w:rsidRPr="0057331C" w:rsidRDefault="0057331C" w:rsidP="001B6FF6">
      <w:pPr>
        <w:spacing w:line="480" w:lineRule="auto"/>
        <w:jc w:val="both"/>
        <w:rPr>
          <w:bCs/>
          <w:color w:val="000000"/>
        </w:rPr>
      </w:pPr>
      <w:r w:rsidRPr="0057331C">
        <w:rPr>
          <w:bCs/>
          <w:color w:val="000000"/>
        </w:rPr>
        <w:tab/>
      </w:r>
      <w:r w:rsidR="00A12D90">
        <w:rPr>
          <w:bCs/>
          <w:color w:val="000000"/>
        </w:rPr>
        <w:t xml:space="preserve">According to the above analysis which concludes that </w:t>
      </w:r>
      <w:r w:rsidRPr="0057331C">
        <w:rPr>
          <w:bCs/>
          <w:color w:val="000000"/>
        </w:rPr>
        <w:t>the cost analysis across pricing strategies, product discontinuation, and make-or-buy decisions demonstrates how accounting data informs strategic business choices</w:t>
      </w:r>
      <w:r w:rsidR="00A12D90">
        <w:rPr>
          <w:bCs/>
          <w:color w:val="000000"/>
        </w:rPr>
        <w:t xml:space="preserve"> such as</w:t>
      </w:r>
      <w:r w:rsidRPr="0057331C">
        <w:rPr>
          <w:bCs/>
          <w:color w:val="000000"/>
        </w:rPr>
        <w:t xml:space="preserve"> quantitative calculations with qualitative considerations such as customer impact and quality control, the business can balance profitability with long-term brand value. </w:t>
      </w:r>
      <w:r w:rsidR="00A12D90">
        <w:rPr>
          <w:bCs/>
          <w:color w:val="000000"/>
        </w:rPr>
        <w:t>So, on the basis of that, a</w:t>
      </w:r>
      <w:r w:rsidRPr="0057331C">
        <w:rPr>
          <w:bCs/>
          <w:color w:val="000000"/>
        </w:rPr>
        <w:t>dopting a data-driven yet customer-focused approach ensures sustainable growth and competitive advantage in the marketplace.</w:t>
      </w:r>
    </w:p>
    <w:p w14:paraId="105E3A8E" w14:textId="3C641042" w:rsidR="0057331C" w:rsidRPr="007E1727" w:rsidRDefault="0057331C" w:rsidP="0057331C">
      <w:pPr>
        <w:spacing w:line="480" w:lineRule="auto"/>
        <w:rPr>
          <w:b/>
          <w:color w:val="000000"/>
        </w:rPr>
      </w:pPr>
    </w:p>
    <w:bookmarkEnd w:id="0"/>
    <w:p w14:paraId="5FC249A1" w14:textId="77777777" w:rsidR="000455F6" w:rsidRPr="007E1727" w:rsidRDefault="000455F6" w:rsidP="00C42A69">
      <w:pPr>
        <w:tabs>
          <w:tab w:val="left" w:pos="360"/>
        </w:tabs>
        <w:overflowPunct w:val="0"/>
        <w:autoSpaceDE w:val="0"/>
        <w:autoSpaceDN w:val="0"/>
        <w:adjustRightInd w:val="0"/>
        <w:spacing w:line="480" w:lineRule="auto"/>
        <w:ind w:left="-360"/>
        <w:jc w:val="center"/>
        <w:textAlignment w:val="baseline"/>
        <w:rPr>
          <w:color w:val="000000"/>
          <w:highlight w:val="yellow"/>
        </w:rPr>
      </w:pPr>
      <w:r w:rsidRPr="007E1727">
        <w:rPr>
          <w:color w:val="000000"/>
        </w:rPr>
        <w:br w:type="page"/>
      </w:r>
      <w:r w:rsidRPr="007E1727">
        <w:rPr>
          <w:b/>
          <w:color w:val="000000"/>
        </w:rPr>
        <w:lastRenderedPageBreak/>
        <w:t>References</w:t>
      </w:r>
    </w:p>
    <w:p w14:paraId="0057EF92" w14:textId="77777777" w:rsidR="001B6FF6" w:rsidRPr="00A12D90" w:rsidRDefault="001B6FF6" w:rsidP="001B6FF6">
      <w:pPr>
        <w:spacing w:line="480" w:lineRule="auto"/>
        <w:ind w:left="720" w:hanging="720"/>
        <w:jc w:val="both"/>
        <w:rPr>
          <w:color w:val="000000"/>
        </w:rPr>
      </w:pPr>
      <w:r w:rsidRPr="00A12D90">
        <w:rPr>
          <w:color w:val="000000"/>
        </w:rPr>
        <w:t xml:space="preserve">Brunner, B., </w:t>
      </w:r>
      <w:proofErr w:type="spellStart"/>
      <w:r w:rsidRPr="00A12D90">
        <w:rPr>
          <w:color w:val="000000"/>
        </w:rPr>
        <w:t>Aegerter</w:t>
      </w:r>
      <w:proofErr w:type="spellEnd"/>
      <w:r w:rsidRPr="00A12D90">
        <w:rPr>
          <w:color w:val="000000"/>
        </w:rPr>
        <w:t xml:space="preserve">, A. M., Johnston, V., </w:t>
      </w:r>
      <w:proofErr w:type="spellStart"/>
      <w:r w:rsidRPr="00A12D90">
        <w:rPr>
          <w:color w:val="000000"/>
        </w:rPr>
        <w:t>Volken</w:t>
      </w:r>
      <w:proofErr w:type="spellEnd"/>
      <w:r w:rsidRPr="00A12D90">
        <w:rPr>
          <w:color w:val="000000"/>
        </w:rPr>
        <w:t xml:space="preserve">, T., </w:t>
      </w:r>
      <w:proofErr w:type="spellStart"/>
      <w:r w:rsidRPr="00A12D90">
        <w:rPr>
          <w:color w:val="000000"/>
        </w:rPr>
        <w:t>Deforth</w:t>
      </w:r>
      <w:proofErr w:type="spellEnd"/>
      <w:r w:rsidRPr="00A12D90">
        <w:rPr>
          <w:color w:val="000000"/>
        </w:rPr>
        <w:t xml:space="preserve">, M., </w:t>
      </w:r>
      <w:proofErr w:type="spellStart"/>
      <w:r w:rsidRPr="00A12D90">
        <w:rPr>
          <w:color w:val="000000"/>
        </w:rPr>
        <w:t>Sjøgaard</w:t>
      </w:r>
      <w:proofErr w:type="spellEnd"/>
      <w:r w:rsidRPr="00A12D90">
        <w:rPr>
          <w:color w:val="000000"/>
        </w:rPr>
        <w:t xml:space="preserve">, G., </w:t>
      </w:r>
      <w:proofErr w:type="spellStart"/>
      <w:r w:rsidRPr="00A12D90">
        <w:rPr>
          <w:color w:val="000000"/>
        </w:rPr>
        <w:t>Elfering</w:t>
      </w:r>
      <w:proofErr w:type="spellEnd"/>
      <w:r w:rsidRPr="00A12D90">
        <w:rPr>
          <w:color w:val="000000"/>
        </w:rPr>
        <w:t xml:space="preserve">, A., </w:t>
      </w:r>
      <w:proofErr w:type="spellStart"/>
      <w:r w:rsidRPr="00A12D90">
        <w:rPr>
          <w:color w:val="000000"/>
        </w:rPr>
        <w:t>Melloh</w:t>
      </w:r>
      <w:proofErr w:type="spellEnd"/>
      <w:r w:rsidRPr="00A12D90">
        <w:rPr>
          <w:color w:val="000000"/>
        </w:rPr>
        <w:t xml:space="preserve">, M., </w:t>
      </w:r>
      <w:proofErr w:type="spellStart"/>
      <w:r w:rsidRPr="00A12D90">
        <w:rPr>
          <w:color w:val="000000"/>
        </w:rPr>
        <w:t>Barbero</w:t>
      </w:r>
      <w:proofErr w:type="spellEnd"/>
      <w:r w:rsidRPr="00A12D90">
        <w:rPr>
          <w:color w:val="000000"/>
        </w:rPr>
        <w:t xml:space="preserve">, M., Cornwall, J., Da Cruz Pereira, Y., Distler, O., </w:t>
      </w:r>
      <w:proofErr w:type="spellStart"/>
      <w:r w:rsidRPr="00A12D90">
        <w:rPr>
          <w:color w:val="000000"/>
        </w:rPr>
        <w:t>Dratva</w:t>
      </w:r>
      <w:proofErr w:type="spellEnd"/>
      <w:r w:rsidRPr="00A12D90">
        <w:rPr>
          <w:color w:val="000000"/>
        </w:rPr>
        <w:t xml:space="preserve">, J., Dressel, H., </w:t>
      </w:r>
      <w:proofErr w:type="spellStart"/>
      <w:r w:rsidRPr="00A12D90">
        <w:rPr>
          <w:color w:val="000000"/>
        </w:rPr>
        <w:t>Egli</w:t>
      </w:r>
      <w:proofErr w:type="spellEnd"/>
      <w:r w:rsidRPr="00A12D90">
        <w:rPr>
          <w:color w:val="000000"/>
        </w:rPr>
        <w:t xml:space="preserve">, T., Ernst, M. J., </w:t>
      </w:r>
      <w:proofErr w:type="spellStart"/>
      <w:r w:rsidRPr="00A12D90">
        <w:rPr>
          <w:color w:val="000000"/>
        </w:rPr>
        <w:t>Etzer</w:t>
      </w:r>
      <w:proofErr w:type="spellEnd"/>
      <w:r w:rsidRPr="00A12D90">
        <w:rPr>
          <w:color w:val="000000"/>
        </w:rPr>
        <w:t xml:space="preserve">-Hofer, I., </w:t>
      </w:r>
      <w:proofErr w:type="spellStart"/>
      <w:r w:rsidRPr="00A12D90">
        <w:rPr>
          <w:color w:val="000000"/>
        </w:rPr>
        <w:t>Falla</w:t>
      </w:r>
      <w:proofErr w:type="spellEnd"/>
      <w:r w:rsidRPr="00A12D90">
        <w:rPr>
          <w:color w:val="000000"/>
        </w:rPr>
        <w:t xml:space="preserve">, D., </w:t>
      </w:r>
      <w:proofErr w:type="spellStart"/>
      <w:r w:rsidRPr="00A12D90">
        <w:rPr>
          <w:color w:val="000000"/>
        </w:rPr>
        <w:t>Gisler</w:t>
      </w:r>
      <w:proofErr w:type="spellEnd"/>
      <w:r w:rsidRPr="00A12D90">
        <w:rPr>
          <w:color w:val="000000"/>
        </w:rPr>
        <w:t xml:space="preserve">, M., . . . </w:t>
      </w:r>
      <w:proofErr w:type="spellStart"/>
      <w:r w:rsidRPr="00A12D90">
        <w:rPr>
          <w:color w:val="000000"/>
        </w:rPr>
        <w:t>NEXpro</w:t>
      </w:r>
      <w:proofErr w:type="spellEnd"/>
      <w:r w:rsidRPr="00A12D90">
        <w:rPr>
          <w:color w:val="000000"/>
        </w:rPr>
        <w:t xml:space="preserve"> Collaboration Group. (2025). Cost-utility and cost–benefit analysis of a multi-component intervention (</w:t>
      </w:r>
      <w:proofErr w:type="spellStart"/>
      <w:r w:rsidRPr="00A12D90">
        <w:rPr>
          <w:color w:val="000000"/>
        </w:rPr>
        <w:t>NEXpro</w:t>
      </w:r>
      <w:proofErr w:type="spellEnd"/>
      <w:r w:rsidRPr="00A12D90">
        <w:rPr>
          <w:color w:val="000000"/>
        </w:rPr>
        <w:t xml:space="preserve">) for neck-related symptoms in </w:t>
      </w:r>
      <w:proofErr w:type="spellStart"/>
      <w:r w:rsidRPr="00A12D90">
        <w:rPr>
          <w:color w:val="000000"/>
        </w:rPr>
        <w:t>swiss</w:t>
      </w:r>
      <w:proofErr w:type="spellEnd"/>
      <w:r w:rsidRPr="00A12D90">
        <w:rPr>
          <w:color w:val="000000"/>
        </w:rPr>
        <w:t xml:space="preserve"> office workers.</w:t>
      </w:r>
      <w:r w:rsidRPr="00A12D90">
        <w:rPr>
          <w:i/>
          <w:iCs/>
          <w:color w:val="000000"/>
        </w:rPr>
        <w:t> BMC Public Health, 25</w:t>
      </w:r>
      <w:r w:rsidRPr="00A12D90">
        <w:rPr>
          <w:color w:val="000000"/>
        </w:rPr>
        <w:t>(1), 160-13. </w:t>
      </w:r>
      <w:hyperlink r:id="rId8" w:tgtFrame="_blank" w:history="1">
        <w:r w:rsidRPr="00A12D90">
          <w:rPr>
            <w:rStyle w:val="Hyperlink"/>
          </w:rPr>
          <w:t>https://doi.org/10.1186/s12889-024-21103-6</w:t>
        </w:r>
      </w:hyperlink>
    </w:p>
    <w:p w14:paraId="488E5276" w14:textId="77777777" w:rsidR="001B6FF6" w:rsidRPr="00A12D90" w:rsidRDefault="001B6FF6" w:rsidP="001B6FF6">
      <w:pPr>
        <w:spacing w:line="480" w:lineRule="auto"/>
        <w:ind w:left="720" w:hanging="720"/>
        <w:jc w:val="both"/>
        <w:rPr>
          <w:color w:val="000000"/>
        </w:rPr>
      </w:pPr>
      <w:proofErr w:type="spellStart"/>
      <w:r w:rsidRPr="00A12D90">
        <w:rPr>
          <w:color w:val="000000"/>
        </w:rPr>
        <w:t>Husemann</w:t>
      </w:r>
      <w:proofErr w:type="spellEnd"/>
      <w:r w:rsidRPr="00A12D90">
        <w:rPr>
          <w:color w:val="000000"/>
        </w:rPr>
        <w:t xml:space="preserve">, M., </w:t>
      </w:r>
      <w:proofErr w:type="spellStart"/>
      <w:r w:rsidRPr="00A12D90">
        <w:rPr>
          <w:color w:val="000000"/>
        </w:rPr>
        <w:t>Kirste</w:t>
      </w:r>
      <w:proofErr w:type="spellEnd"/>
      <w:r w:rsidRPr="00A12D90">
        <w:rPr>
          <w:color w:val="000000"/>
        </w:rPr>
        <w:t>, A., &amp; Stumpf, E. (2024). Analysis of cost-efficient urban air mobility systems: Optimization of operational and configurational fleet decisions.</w:t>
      </w:r>
      <w:r w:rsidRPr="00A12D90">
        <w:rPr>
          <w:i/>
          <w:iCs/>
          <w:color w:val="000000"/>
        </w:rPr>
        <w:t> European Journal of Operational Research, 317</w:t>
      </w:r>
      <w:r w:rsidRPr="00A12D90">
        <w:rPr>
          <w:color w:val="000000"/>
        </w:rPr>
        <w:t>(3), 678-695. </w:t>
      </w:r>
      <w:hyperlink r:id="rId9" w:tgtFrame="_blank" w:history="1">
        <w:r w:rsidRPr="00A12D90">
          <w:rPr>
            <w:rStyle w:val="Hyperlink"/>
          </w:rPr>
          <w:t>https://doi.org/10.1016/j.ejor.2023.04.040</w:t>
        </w:r>
      </w:hyperlink>
    </w:p>
    <w:p w14:paraId="16FE48F8" w14:textId="77777777" w:rsidR="001B6FF6" w:rsidRPr="00A12D90" w:rsidRDefault="001B6FF6" w:rsidP="001B6FF6">
      <w:pPr>
        <w:spacing w:line="480" w:lineRule="auto"/>
        <w:ind w:left="720" w:hanging="720"/>
        <w:jc w:val="both"/>
        <w:rPr>
          <w:color w:val="000000"/>
        </w:rPr>
      </w:pPr>
      <w:proofErr w:type="spellStart"/>
      <w:r w:rsidRPr="00A12D90">
        <w:rPr>
          <w:color w:val="000000"/>
        </w:rPr>
        <w:t>Pekkari</w:t>
      </w:r>
      <w:proofErr w:type="spellEnd"/>
      <w:r w:rsidRPr="00A12D90">
        <w:rPr>
          <w:color w:val="000000"/>
        </w:rPr>
        <w:t xml:space="preserve">, C., Lund, B., Davidson, T., </w:t>
      </w:r>
      <w:proofErr w:type="spellStart"/>
      <w:r w:rsidRPr="00A12D90">
        <w:rPr>
          <w:color w:val="000000"/>
        </w:rPr>
        <w:t>Naimi</w:t>
      </w:r>
      <w:proofErr w:type="spellEnd"/>
      <w:r w:rsidRPr="00A12D90">
        <w:rPr>
          <w:color w:val="000000"/>
        </w:rPr>
        <w:t xml:space="preserve">-Akbar, A., </w:t>
      </w:r>
      <w:proofErr w:type="spellStart"/>
      <w:r w:rsidRPr="00A12D90">
        <w:rPr>
          <w:color w:val="000000"/>
        </w:rPr>
        <w:t>Marcusson</w:t>
      </w:r>
      <w:proofErr w:type="spellEnd"/>
      <w:r w:rsidRPr="00A12D90">
        <w:rPr>
          <w:color w:val="000000"/>
        </w:rPr>
        <w:t>, A., &amp; Weiner, C. K. (2024). Cost analysis of orthognathic surgery: Outpatient care versus inpatient care.</w:t>
      </w:r>
      <w:r w:rsidRPr="00A12D90">
        <w:rPr>
          <w:i/>
          <w:iCs/>
          <w:color w:val="000000"/>
        </w:rPr>
        <w:t> International Journal of Oral and Maxillofacial Surgery, 53</w:t>
      </w:r>
      <w:r w:rsidRPr="00A12D90">
        <w:rPr>
          <w:color w:val="000000"/>
        </w:rPr>
        <w:t>(10), 829-835. </w:t>
      </w:r>
      <w:hyperlink r:id="rId10" w:tgtFrame="_blank" w:history="1">
        <w:r w:rsidRPr="00A12D90">
          <w:rPr>
            <w:rStyle w:val="Hyperlink"/>
          </w:rPr>
          <w:t>https://doi.org/10.1016/j.ijom.2024.02.005</w:t>
        </w:r>
      </w:hyperlink>
    </w:p>
    <w:p w14:paraId="34421AA0" w14:textId="77777777" w:rsidR="001B6FF6" w:rsidRPr="00A12D90" w:rsidRDefault="001B6FF6" w:rsidP="001B6FF6">
      <w:pPr>
        <w:spacing w:line="480" w:lineRule="auto"/>
        <w:ind w:left="720" w:hanging="720"/>
        <w:jc w:val="both"/>
        <w:rPr>
          <w:color w:val="000000"/>
        </w:rPr>
      </w:pPr>
      <w:r w:rsidRPr="00A12D90">
        <w:rPr>
          <w:color w:val="000000"/>
        </w:rPr>
        <w:t xml:space="preserve">Senanayake, S., </w:t>
      </w:r>
      <w:proofErr w:type="spellStart"/>
      <w:r w:rsidRPr="00A12D90">
        <w:rPr>
          <w:color w:val="000000"/>
        </w:rPr>
        <w:t>Lieo</w:t>
      </w:r>
      <w:proofErr w:type="spellEnd"/>
      <w:r w:rsidRPr="00A12D90">
        <w:rPr>
          <w:color w:val="000000"/>
        </w:rPr>
        <w:t xml:space="preserve">, S. W. X., </w:t>
      </w:r>
      <w:proofErr w:type="spellStart"/>
      <w:r w:rsidRPr="00A12D90">
        <w:rPr>
          <w:color w:val="000000"/>
        </w:rPr>
        <w:t>Latib</w:t>
      </w:r>
      <w:proofErr w:type="spellEnd"/>
      <w:r w:rsidRPr="00A12D90">
        <w:rPr>
          <w:color w:val="000000"/>
        </w:rPr>
        <w:t xml:space="preserve">, A. B., </w:t>
      </w:r>
      <w:proofErr w:type="spellStart"/>
      <w:r w:rsidRPr="00A12D90">
        <w:rPr>
          <w:color w:val="000000"/>
        </w:rPr>
        <w:t>Kularatna</w:t>
      </w:r>
      <w:proofErr w:type="spellEnd"/>
      <w:r w:rsidRPr="00A12D90">
        <w:rPr>
          <w:color w:val="000000"/>
        </w:rPr>
        <w:t xml:space="preserve">, S., Graves, N., </w:t>
      </w:r>
      <w:proofErr w:type="spellStart"/>
      <w:r w:rsidRPr="00A12D90">
        <w:rPr>
          <w:color w:val="000000"/>
        </w:rPr>
        <w:t>Kui</w:t>
      </w:r>
      <w:proofErr w:type="spellEnd"/>
      <w:r w:rsidRPr="00A12D90">
        <w:rPr>
          <w:color w:val="000000"/>
        </w:rPr>
        <w:t xml:space="preserve">, M. S. L., </w:t>
      </w:r>
      <w:proofErr w:type="spellStart"/>
      <w:r w:rsidRPr="00A12D90">
        <w:rPr>
          <w:color w:val="000000"/>
        </w:rPr>
        <w:t>O’Regan</w:t>
      </w:r>
      <w:proofErr w:type="spellEnd"/>
      <w:r w:rsidRPr="00A12D90">
        <w:rPr>
          <w:color w:val="000000"/>
        </w:rPr>
        <w:t xml:space="preserve">, D. P., Chan, M. Y. Y., </w:t>
      </w:r>
      <w:proofErr w:type="spellStart"/>
      <w:r w:rsidRPr="00A12D90">
        <w:rPr>
          <w:color w:val="000000"/>
        </w:rPr>
        <w:t>Hausenloy</w:t>
      </w:r>
      <w:proofErr w:type="spellEnd"/>
      <w:r w:rsidRPr="00A12D90">
        <w:rPr>
          <w:color w:val="000000"/>
        </w:rPr>
        <w:t>, D. J., Chin, C. W. L., &amp; Le, T. (2025). Cost analysis of exercise cardiac magnetic resonance imaging in suspected dilated cardiomyopathy—a single-center experience.</w:t>
      </w:r>
      <w:r w:rsidRPr="00A12D90">
        <w:rPr>
          <w:i/>
          <w:iCs/>
          <w:color w:val="000000"/>
        </w:rPr>
        <w:t> Journal of Cardiovascular Magnetic Resonance, 27</w:t>
      </w:r>
      <w:r w:rsidRPr="00A12D90">
        <w:rPr>
          <w:color w:val="000000"/>
        </w:rPr>
        <w:t>(2), 101924. </w:t>
      </w:r>
      <w:hyperlink r:id="rId11" w:tgtFrame="_blank" w:history="1">
        <w:r w:rsidRPr="00A12D90">
          <w:rPr>
            <w:rStyle w:val="Hyperlink"/>
          </w:rPr>
          <w:t>https://doi.org/10.1016/j.jocmr.2025.101924</w:t>
        </w:r>
      </w:hyperlink>
    </w:p>
    <w:p w14:paraId="67043F5E" w14:textId="77777777" w:rsidR="001B6FF6" w:rsidRDefault="001B6FF6" w:rsidP="001B6FF6">
      <w:pPr>
        <w:spacing w:line="480" w:lineRule="auto"/>
        <w:ind w:left="720" w:hanging="720"/>
        <w:jc w:val="both"/>
        <w:rPr>
          <w:color w:val="000000"/>
        </w:rPr>
      </w:pPr>
      <w:r w:rsidRPr="00A12D90">
        <w:rPr>
          <w:color w:val="000000"/>
        </w:rPr>
        <w:t xml:space="preserve">Silva, C. d., </w:t>
      </w:r>
      <w:proofErr w:type="spellStart"/>
      <w:r w:rsidRPr="00A12D90">
        <w:rPr>
          <w:color w:val="000000"/>
        </w:rPr>
        <w:t>França</w:t>
      </w:r>
      <w:proofErr w:type="spellEnd"/>
      <w:r w:rsidRPr="00A12D90">
        <w:rPr>
          <w:color w:val="000000"/>
        </w:rPr>
        <w:t xml:space="preserve">, M. T. A., &amp; Neto, G. B. (2024). A cost analysis of </w:t>
      </w:r>
      <w:proofErr w:type="spellStart"/>
      <w:r w:rsidRPr="00A12D90">
        <w:rPr>
          <w:color w:val="000000"/>
        </w:rPr>
        <w:t>machado</w:t>
      </w:r>
      <w:proofErr w:type="spellEnd"/>
      <w:r w:rsidRPr="00A12D90">
        <w:rPr>
          <w:color w:val="000000"/>
        </w:rPr>
        <w:t>-Joseph’s disease (MJD).</w:t>
      </w:r>
      <w:r w:rsidRPr="00A12D90">
        <w:rPr>
          <w:i/>
          <w:iCs/>
          <w:color w:val="000000"/>
        </w:rPr>
        <w:t> </w:t>
      </w:r>
      <w:proofErr w:type="spellStart"/>
      <w:r w:rsidRPr="00A12D90">
        <w:rPr>
          <w:i/>
          <w:iCs/>
          <w:color w:val="000000"/>
        </w:rPr>
        <w:t>PloS</w:t>
      </w:r>
      <w:proofErr w:type="spellEnd"/>
      <w:r w:rsidRPr="00A12D90">
        <w:rPr>
          <w:i/>
          <w:iCs/>
          <w:color w:val="000000"/>
        </w:rPr>
        <w:t xml:space="preserve"> One, 19</w:t>
      </w:r>
      <w:r w:rsidRPr="00A12D90">
        <w:rPr>
          <w:color w:val="000000"/>
        </w:rPr>
        <w:t>(9), e0307885. </w:t>
      </w:r>
      <w:hyperlink r:id="rId12" w:tgtFrame="_blank" w:history="1">
        <w:r w:rsidRPr="00A12D90">
          <w:rPr>
            <w:rStyle w:val="Hyperlink"/>
          </w:rPr>
          <w:t>https://doi.org/10.1371/journal.pone.0307885</w:t>
        </w:r>
      </w:hyperlink>
    </w:p>
    <w:sectPr w:rsidR="001B6FF6" w:rsidSect="002830B3">
      <w:head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15E8" w14:textId="77777777" w:rsidR="00B675C6" w:rsidRDefault="00B675C6">
      <w:r>
        <w:separator/>
      </w:r>
    </w:p>
  </w:endnote>
  <w:endnote w:type="continuationSeparator" w:id="0">
    <w:p w14:paraId="0FE34733" w14:textId="77777777" w:rsidR="00B675C6" w:rsidRDefault="00B6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D615" w14:textId="77777777" w:rsidR="00B675C6" w:rsidRDefault="00B675C6">
      <w:r>
        <w:separator/>
      </w:r>
    </w:p>
  </w:footnote>
  <w:footnote w:type="continuationSeparator" w:id="0">
    <w:p w14:paraId="0EF063B9" w14:textId="77777777" w:rsidR="00B675C6" w:rsidRDefault="00B6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0E2" w14:textId="77777777" w:rsidR="00653666" w:rsidRDefault="00653666" w:rsidP="00026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CDF87A" w14:textId="25C29337" w:rsidR="00653666" w:rsidRPr="00352E8D" w:rsidRDefault="0079639B" w:rsidP="003F5158">
    <w:pPr>
      <w:pStyle w:val="Header"/>
      <w:ind w:right="360"/>
      <w:rPr>
        <w:sz w:val="22"/>
        <w:szCs w:val="22"/>
      </w:rPr>
    </w:pPr>
    <w:r>
      <w:t>ACC501</w:t>
    </w:r>
    <w:r w:rsidR="00653666">
      <w:t xml:space="preserve"> </w:t>
    </w:r>
    <w:r w:rsidR="00C42A69">
      <w:t>Case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B3F"/>
    <w:multiLevelType w:val="multilevel"/>
    <w:tmpl w:val="F2A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93BEA"/>
    <w:multiLevelType w:val="multilevel"/>
    <w:tmpl w:val="63A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A685A"/>
    <w:multiLevelType w:val="multilevel"/>
    <w:tmpl w:val="3B46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E7007"/>
    <w:multiLevelType w:val="multilevel"/>
    <w:tmpl w:val="1CC4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75E05"/>
    <w:multiLevelType w:val="multilevel"/>
    <w:tmpl w:val="50F6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B59AD"/>
    <w:multiLevelType w:val="multilevel"/>
    <w:tmpl w:val="1BB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C74C4"/>
    <w:multiLevelType w:val="multilevel"/>
    <w:tmpl w:val="AB6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443D3"/>
    <w:multiLevelType w:val="multilevel"/>
    <w:tmpl w:val="8AD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C1159"/>
    <w:multiLevelType w:val="multilevel"/>
    <w:tmpl w:val="9182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D40D7"/>
    <w:multiLevelType w:val="multilevel"/>
    <w:tmpl w:val="6526E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F106A"/>
    <w:multiLevelType w:val="multilevel"/>
    <w:tmpl w:val="C934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0"/>
  </w:num>
  <w:num w:numId="4">
    <w:abstractNumId w:val="7"/>
  </w:num>
  <w:num w:numId="5">
    <w:abstractNumId w:val="9"/>
  </w:num>
  <w:num w:numId="6">
    <w:abstractNumId w:val="0"/>
  </w:num>
  <w:num w:numId="7">
    <w:abstractNumId w:val="5"/>
  </w:num>
  <w:num w:numId="8">
    <w:abstractNumId w:val="6"/>
  </w:num>
  <w:num w:numId="9">
    <w:abstractNumId w:val="8"/>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0MzYztzC3MDE0MDFR0lEKTi0uzszPAykwNqkFAKv9ZLwtAAAA"/>
  </w:docVars>
  <w:rsids>
    <w:rsidRoot w:val="0050433C"/>
    <w:rsid w:val="00026142"/>
    <w:rsid w:val="00034325"/>
    <w:rsid w:val="0003472F"/>
    <w:rsid w:val="000455F6"/>
    <w:rsid w:val="00047143"/>
    <w:rsid w:val="000511FA"/>
    <w:rsid w:val="0006074E"/>
    <w:rsid w:val="00081629"/>
    <w:rsid w:val="00085C7F"/>
    <w:rsid w:val="00096202"/>
    <w:rsid w:val="000A198A"/>
    <w:rsid w:val="000A39A9"/>
    <w:rsid w:val="000B008D"/>
    <w:rsid w:val="000B218C"/>
    <w:rsid w:val="000B6AD6"/>
    <w:rsid w:val="000C144F"/>
    <w:rsid w:val="000C1741"/>
    <w:rsid w:val="000C6AD9"/>
    <w:rsid w:val="000E0F36"/>
    <w:rsid w:val="000F1641"/>
    <w:rsid w:val="00106FDE"/>
    <w:rsid w:val="001147C1"/>
    <w:rsid w:val="00122C18"/>
    <w:rsid w:val="00131A1B"/>
    <w:rsid w:val="00132884"/>
    <w:rsid w:val="001377D4"/>
    <w:rsid w:val="0014216B"/>
    <w:rsid w:val="00147909"/>
    <w:rsid w:val="00150EEF"/>
    <w:rsid w:val="00154F49"/>
    <w:rsid w:val="00163836"/>
    <w:rsid w:val="00167D67"/>
    <w:rsid w:val="001758DE"/>
    <w:rsid w:val="00182003"/>
    <w:rsid w:val="001A55A9"/>
    <w:rsid w:val="001B6168"/>
    <w:rsid w:val="001B6FF6"/>
    <w:rsid w:val="001D090F"/>
    <w:rsid w:val="001D1CD9"/>
    <w:rsid w:val="001D51E9"/>
    <w:rsid w:val="001F40F3"/>
    <w:rsid w:val="0020174B"/>
    <w:rsid w:val="0020241D"/>
    <w:rsid w:val="00211094"/>
    <w:rsid w:val="0021351E"/>
    <w:rsid w:val="002439C9"/>
    <w:rsid w:val="00253713"/>
    <w:rsid w:val="00256256"/>
    <w:rsid w:val="002830B3"/>
    <w:rsid w:val="00286395"/>
    <w:rsid w:val="002A2C9F"/>
    <w:rsid w:val="002B31CF"/>
    <w:rsid w:val="002B4B55"/>
    <w:rsid w:val="002B6BFA"/>
    <w:rsid w:val="002C00BE"/>
    <w:rsid w:val="002C7462"/>
    <w:rsid w:val="002D755D"/>
    <w:rsid w:val="002E6180"/>
    <w:rsid w:val="002F63FD"/>
    <w:rsid w:val="002F7DEF"/>
    <w:rsid w:val="00302BC5"/>
    <w:rsid w:val="00312827"/>
    <w:rsid w:val="00352229"/>
    <w:rsid w:val="00352E8D"/>
    <w:rsid w:val="00354C36"/>
    <w:rsid w:val="00356E85"/>
    <w:rsid w:val="00361978"/>
    <w:rsid w:val="00364629"/>
    <w:rsid w:val="00364C68"/>
    <w:rsid w:val="003A0026"/>
    <w:rsid w:val="003A1801"/>
    <w:rsid w:val="003B1B71"/>
    <w:rsid w:val="003B7948"/>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069F"/>
    <w:rsid w:val="0044112E"/>
    <w:rsid w:val="00454CAF"/>
    <w:rsid w:val="00456686"/>
    <w:rsid w:val="004578EE"/>
    <w:rsid w:val="004604B1"/>
    <w:rsid w:val="00466700"/>
    <w:rsid w:val="004853C2"/>
    <w:rsid w:val="00492DCE"/>
    <w:rsid w:val="0049530B"/>
    <w:rsid w:val="004A3C8E"/>
    <w:rsid w:val="004B05D7"/>
    <w:rsid w:val="004C1298"/>
    <w:rsid w:val="004C5ED0"/>
    <w:rsid w:val="00502A2F"/>
    <w:rsid w:val="005040FF"/>
    <w:rsid w:val="0050433C"/>
    <w:rsid w:val="0050489F"/>
    <w:rsid w:val="00522766"/>
    <w:rsid w:val="00527508"/>
    <w:rsid w:val="00530A67"/>
    <w:rsid w:val="0053493C"/>
    <w:rsid w:val="005412E4"/>
    <w:rsid w:val="005511A8"/>
    <w:rsid w:val="0055467F"/>
    <w:rsid w:val="00561A56"/>
    <w:rsid w:val="00565081"/>
    <w:rsid w:val="0057331C"/>
    <w:rsid w:val="0057635E"/>
    <w:rsid w:val="00581CE2"/>
    <w:rsid w:val="00595B65"/>
    <w:rsid w:val="005A555C"/>
    <w:rsid w:val="005C4B3D"/>
    <w:rsid w:val="005E5214"/>
    <w:rsid w:val="005E5984"/>
    <w:rsid w:val="005F2027"/>
    <w:rsid w:val="005F3678"/>
    <w:rsid w:val="005F75ED"/>
    <w:rsid w:val="0060394A"/>
    <w:rsid w:val="0061067D"/>
    <w:rsid w:val="006124DB"/>
    <w:rsid w:val="00614C45"/>
    <w:rsid w:val="00625523"/>
    <w:rsid w:val="006416F4"/>
    <w:rsid w:val="006431F1"/>
    <w:rsid w:val="00653666"/>
    <w:rsid w:val="00656206"/>
    <w:rsid w:val="00660724"/>
    <w:rsid w:val="006624AB"/>
    <w:rsid w:val="00671116"/>
    <w:rsid w:val="00672D33"/>
    <w:rsid w:val="006730B0"/>
    <w:rsid w:val="00674A8C"/>
    <w:rsid w:val="00695B8D"/>
    <w:rsid w:val="006A5C5E"/>
    <w:rsid w:val="006B25B5"/>
    <w:rsid w:val="006E1EF5"/>
    <w:rsid w:val="006F527A"/>
    <w:rsid w:val="0070200D"/>
    <w:rsid w:val="00711DC4"/>
    <w:rsid w:val="0075015A"/>
    <w:rsid w:val="007572B6"/>
    <w:rsid w:val="00791E2E"/>
    <w:rsid w:val="0079639B"/>
    <w:rsid w:val="007A1B1F"/>
    <w:rsid w:val="007D1376"/>
    <w:rsid w:val="007E1727"/>
    <w:rsid w:val="007F79BB"/>
    <w:rsid w:val="008026AA"/>
    <w:rsid w:val="0081017D"/>
    <w:rsid w:val="00824636"/>
    <w:rsid w:val="008255DE"/>
    <w:rsid w:val="00841A9E"/>
    <w:rsid w:val="00841F4A"/>
    <w:rsid w:val="00844EE7"/>
    <w:rsid w:val="00854C46"/>
    <w:rsid w:val="00873554"/>
    <w:rsid w:val="00880C08"/>
    <w:rsid w:val="00883AAD"/>
    <w:rsid w:val="00896609"/>
    <w:rsid w:val="008A084D"/>
    <w:rsid w:val="008B7F59"/>
    <w:rsid w:val="008C12E5"/>
    <w:rsid w:val="008C7966"/>
    <w:rsid w:val="008D23AA"/>
    <w:rsid w:val="008D2859"/>
    <w:rsid w:val="008D3F0D"/>
    <w:rsid w:val="008D5C02"/>
    <w:rsid w:val="008E469D"/>
    <w:rsid w:val="008F74C4"/>
    <w:rsid w:val="009007D4"/>
    <w:rsid w:val="0091254D"/>
    <w:rsid w:val="009247A1"/>
    <w:rsid w:val="0094570E"/>
    <w:rsid w:val="00954A41"/>
    <w:rsid w:val="00960B22"/>
    <w:rsid w:val="009632A1"/>
    <w:rsid w:val="00964FF8"/>
    <w:rsid w:val="009749F9"/>
    <w:rsid w:val="009758CD"/>
    <w:rsid w:val="00977C3F"/>
    <w:rsid w:val="00990C99"/>
    <w:rsid w:val="00991A50"/>
    <w:rsid w:val="009A3DEA"/>
    <w:rsid w:val="009B48D2"/>
    <w:rsid w:val="009B6C8F"/>
    <w:rsid w:val="009C36FD"/>
    <w:rsid w:val="009C743D"/>
    <w:rsid w:val="009D375B"/>
    <w:rsid w:val="009D378A"/>
    <w:rsid w:val="009E228A"/>
    <w:rsid w:val="00A00836"/>
    <w:rsid w:val="00A00D2C"/>
    <w:rsid w:val="00A037C7"/>
    <w:rsid w:val="00A12D90"/>
    <w:rsid w:val="00A13576"/>
    <w:rsid w:val="00A142C3"/>
    <w:rsid w:val="00A1437D"/>
    <w:rsid w:val="00A225DF"/>
    <w:rsid w:val="00A27F42"/>
    <w:rsid w:val="00A37498"/>
    <w:rsid w:val="00A426A5"/>
    <w:rsid w:val="00A42F13"/>
    <w:rsid w:val="00A4532E"/>
    <w:rsid w:val="00A47689"/>
    <w:rsid w:val="00A6361F"/>
    <w:rsid w:val="00A725AF"/>
    <w:rsid w:val="00A75CFC"/>
    <w:rsid w:val="00A93CC1"/>
    <w:rsid w:val="00A95E3A"/>
    <w:rsid w:val="00AA3F20"/>
    <w:rsid w:val="00AB3DAE"/>
    <w:rsid w:val="00AC1008"/>
    <w:rsid w:val="00AD4FAC"/>
    <w:rsid w:val="00AE1D46"/>
    <w:rsid w:val="00AE3507"/>
    <w:rsid w:val="00B02092"/>
    <w:rsid w:val="00B02A05"/>
    <w:rsid w:val="00B02DD7"/>
    <w:rsid w:val="00B042E8"/>
    <w:rsid w:val="00B068A8"/>
    <w:rsid w:val="00B10C07"/>
    <w:rsid w:val="00B224B6"/>
    <w:rsid w:val="00B22E3F"/>
    <w:rsid w:val="00B32F73"/>
    <w:rsid w:val="00B342B1"/>
    <w:rsid w:val="00B37F5A"/>
    <w:rsid w:val="00B4235C"/>
    <w:rsid w:val="00B46191"/>
    <w:rsid w:val="00B46D48"/>
    <w:rsid w:val="00B6023E"/>
    <w:rsid w:val="00B6034C"/>
    <w:rsid w:val="00B62A78"/>
    <w:rsid w:val="00B675C6"/>
    <w:rsid w:val="00B742AF"/>
    <w:rsid w:val="00B80515"/>
    <w:rsid w:val="00B8112C"/>
    <w:rsid w:val="00B87775"/>
    <w:rsid w:val="00B93D96"/>
    <w:rsid w:val="00BA21C5"/>
    <w:rsid w:val="00BD1C8D"/>
    <w:rsid w:val="00BD3733"/>
    <w:rsid w:val="00BD6FF4"/>
    <w:rsid w:val="00BE410C"/>
    <w:rsid w:val="00BF0F1B"/>
    <w:rsid w:val="00BF7C6E"/>
    <w:rsid w:val="00C004E5"/>
    <w:rsid w:val="00C16DDC"/>
    <w:rsid w:val="00C21C1C"/>
    <w:rsid w:val="00C22265"/>
    <w:rsid w:val="00C270FF"/>
    <w:rsid w:val="00C277CE"/>
    <w:rsid w:val="00C31727"/>
    <w:rsid w:val="00C42A69"/>
    <w:rsid w:val="00C51C2A"/>
    <w:rsid w:val="00C5533D"/>
    <w:rsid w:val="00C74F8E"/>
    <w:rsid w:val="00C769CD"/>
    <w:rsid w:val="00C863E2"/>
    <w:rsid w:val="00C9472F"/>
    <w:rsid w:val="00CA791D"/>
    <w:rsid w:val="00CC057E"/>
    <w:rsid w:val="00CC3628"/>
    <w:rsid w:val="00CD2528"/>
    <w:rsid w:val="00CE2E66"/>
    <w:rsid w:val="00CF070A"/>
    <w:rsid w:val="00CF088C"/>
    <w:rsid w:val="00D0108C"/>
    <w:rsid w:val="00D13AC0"/>
    <w:rsid w:val="00D172FE"/>
    <w:rsid w:val="00D200BF"/>
    <w:rsid w:val="00D47CA9"/>
    <w:rsid w:val="00D57D30"/>
    <w:rsid w:val="00D6768F"/>
    <w:rsid w:val="00D7332A"/>
    <w:rsid w:val="00D844B2"/>
    <w:rsid w:val="00D87258"/>
    <w:rsid w:val="00D96DDF"/>
    <w:rsid w:val="00DA0017"/>
    <w:rsid w:val="00DA07CA"/>
    <w:rsid w:val="00DB099B"/>
    <w:rsid w:val="00DB7248"/>
    <w:rsid w:val="00DD0C4D"/>
    <w:rsid w:val="00DE1A4A"/>
    <w:rsid w:val="00DE3706"/>
    <w:rsid w:val="00DE5909"/>
    <w:rsid w:val="00DE7652"/>
    <w:rsid w:val="00DF5ED9"/>
    <w:rsid w:val="00E026E0"/>
    <w:rsid w:val="00E046B3"/>
    <w:rsid w:val="00E062B8"/>
    <w:rsid w:val="00E347E9"/>
    <w:rsid w:val="00E40301"/>
    <w:rsid w:val="00E4493B"/>
    <w:rsid w:val="00E45724"/>
    <w:rsid w:val="00E45886"/>
    <w:rsid w:val="00E547D4"/>
    <w:rsid w:val="00E63F35"/>
    <w:rsid w:val="00E642BD"/>
    <w:rsid w:val="00E64AD3"/>
    <w:rsid w:val="00E65B61"/>
    <w:rsid w:val="00E75D3A"/>
    <w:rsid w:val="00E80CFF"/>
    <w:rsid w:val="00E940DC"/>
    <w:rsid w:val="00E94A62"/>
    <w:rsid w:val="00EB1AC1"/>
    <w:rsid w:val="00EB211C"/>
    <w:rsid w:val="00EB65C0"/>
    <w:rsid w:val="00EC03B6"/>
    <w:rsid w:val="00ED47C2"/>
    <w:rsid w:val="00ED6EF3"/>
    <w:rsid w:val="00ED7EAB"/>
    <w:rsid w:val="00EE51C9"/>
    <w:rsid w:val="00EF1655"/>
    <w:rsid w:val="00EF1CB2"/>
    <w:rsid w:val="00EF57CD"/>
    <w:rsid w:val="00F10A09"/>
    <w:rsid w:val="00F20699"/>
    <w:rsid w:val="00F257CE"/>
    <w:rsid w:val="00F310CD"/>
    <w:rsid w:val="00F31B75"/>
    <w:rsid w:val="00F35BE5"/>
    <w:rsid w:val="00F378C4"/>
    <w:rsid w:val="00F4191B"/>
    <w:rsid w:val="00F43BA1"/>
    <w:rsid w:val="00F468D1"/>
    <w:rsid w:val="00F62922"/>
    <w:rsid w:val="00F64DDA"/>
    <w:rsid w:val="00F7461E"/>
    <w:rsid w:val="00F84528"/>
    <w:rsid w:val="00F8489A"/>
    <w:rsid w:val="00F84D66"/>
    <w:rsid w:val="00F93AF8"/>
    <w:rsid w:val="00F96724"/>
    <w:rsid w:val="00F96D0F"/>
    <w:rsid w:val="00F96D5C"/>
    <w:rsid w:val="00FA5606"/>
    <w:rsid w:val="00FA5A4C"/>
    <w:rsid w:val="00FA7A69"/>
    <w:rsid w:val="00FD1EEE"/>
    <w:rsid w:val="00FD309C"/>
    <w:rsid w:val="00FE13EC"/>
    <w:rsid w:val="00FF19B7"/>
    <w:rsid w:val="00FF3D00"/>
    <w:rsid w:val="00F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F63F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character" w:customStyle="1" w:styleId="Heading3Char">
    <w:name w:val="Heading 3 Char"/>
    <w:basedOn w:val="DefaultParagraphFont"/>
    <w:link w:val="Heading3"/>
    <w:semiHidden/>
    <w:rsid w:val="002F63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4-21103-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371/journal.pone.03078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ocmr.2025.1019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ijom.2024.02.005" TargetMode="External"/><Relationship Id="rId4" Type="http://schemas.openxmlformats.org/officeDocument/2006/relationships/webSettings" Target="webSettings.xml"/><Relationship Id="rId9" Type="http://schemas.openxmlformats.org/officeDocument/2006/relationships/hyperlink" Target="https://doi.org/10.1016/j.ejor.2023.04.0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2431</Words>
  <Characters>13863</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2024-10-20T17:07:00Z</dcterms:created>
  <dcterms:modified xsi:type="dcterms:W3CDTF">2025-08-15T16:06:00Z</dcterms:modified>
</cp:coreProperties>
</file>