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7DCD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52AD676C" w:rsidR="00286395" w:rsidRPr="007E1727" w:rsidRDefault="0079639B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ACC501</w:t>
      </w:r>
      <w:r w:rsidR="004C5ED0">
        <w:rPr>
          <w:b/>
          <w:bCs/>
        </w:rPr>
        <w:t xml:space="preserve"> </w:t>
      </w:r>
      <w:r w:rsidR="003F7504">
        <w:rPr>
          <w:b/>
          <w:bCs/>
        </w:rPr>
        <w:t>SLP 2</w:t>
      </w:r>
    </w:p>
    <w:p w14:paraId="215330E4" w14:textId="77777777" w:rsidR="00286395" w:rsidRPr="007E1727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Pr="007E1727" w:rsidRDefault="00454CAF" w:rsidP="00F378C4">
      <w:pPr>
        <w:spacing w:line="480" w:lineRule="auto"/>
        <w:jc w:val="center"/>
      </w:pPr>
      <w:r w:rsidRPr="007E1727">
        <w:t>Your Name</w:t>
      </w:r>
    </w:p>
    <w:p w14:paraId="02750D95" w14:textId="77777777" w:rsidR="00454CAF" w:rsidRPr="007E1727" w:rsidRDefault="00454CAF" w:rsidP="00F378C4">
      <w:pPr>
        <w:spacing w:line="480" w:lineRule="auto"/>
        <w:jc w:val="center"/>
      </w:pPr>
      <w:r w:rsidRPr="007E1727">
        <w:t xml:space="preserve">Trident University International </w:t>
      </w:r>
    </w:p>
    <w:p w14:paraId="27BBC8F8" w14:textId="6A19A1E4" w:rsidR="0079639B" w:rsidRDefault="0079639B" w:rsidP="00F378C4">
      <w:pPr>
        <w:spacing w:line="480" w:lineRule="auto"/>
        <w:jc w:val="center"/>
      </w:pPr>
      <w:r w:rsidRPr="0079639B">
        <w:t xml:space="preserve">ACC501 Accounting for Decision Making </w:t>
      </w:r>
    </w:p>
    <w:p w14:paraId="54C389E1" w14:textId="7498DF4F" w:rsidR="00844EE7" w:rsidRPr="007E1727" w:rsidRDefault="00454CAF" w:rsidP="00F378C4">
      <w:pPr>
        <w:spacing w:line="480" w:lineRule="auto"/>
        <w:jc w:val="center"/>
      </w:pPr>
      <w:r w:rsidRPr="007E1727">
        <w:t>Due Date</w:t>
      </w:r>
    </w:p>
    <w:p w14:paraId="6C8D5EF8" w14:textId="56D46919" w:rsidR="003C7F15" w:rsidRPr="007E1727" w:rsidRDefault="00352E8D" w:rsidP="00D6768F">
      <w:pPr>
        <w:spacing w:line="480" w:lineRule="auto"/>
        <w:rPr>
          <w:b/>
          <w:bCs/>
        </w:rPr>
      </w:pPr>
      <w:r w:rsidRPr="007E1727">
        <w:br w:type="page"/>
      </w:r>
    </w:p>
    <w:p w14:paraId="1DF862F2" w14:textId="7D9403DB" w:rsidR="00D200BF" w:rsidRDefault="00771B39" w:rsidP="00D6768F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6AA71A59" w14:textId="4DAC00BC" w:rsidR="005E0EEB" w:rsidRPr="005E0EEB" w:rsidRDefault="005E0EEB" w:rsidP="002717C3">
      <w:pPr>
        <w:spacing w:line="480" w:lineRule="auto"/>
        <w:jc w:val="both"/>
      </w:pPr>
      <w:r w:rsidRPr="005E0EEB">
        <w:tab/>
        <w:t>Th</w:t>
      </w:r>
      <w:r w:rsidR="00771B39">
        <w:t xml:space="preserve">e report aims to analyse </w:t>
      </w:r>
      <w:r w:rsidRPr="005E0EEB">
        <w:t>the cost structure, contribution margin, and break-even point of a selected small business to support informed decision-making and financial planning</w:t>
      </w:r>
      <w:r w:rsidR="00771B39">
        <w:t xml:space="preserve"> such as b</w:t>
      </w:r>
      <w:r w:rsidRPr="005E0EEB">
        <w:t>y analyzing how fixed and variable costs interact under different economic scenarios</w:t>
      </w:r>
      <w:r w:rsidR="00765751">
        <w:t xml:space="preserve"> </w:t>
      </w:r>
      <w:r w:rsidR="00765751" w:rsidRPr="00765751">
        <w:t>(Senanayake et al., 2025)</w:t>
      </w:r>
      <w:r w:rsidR="00771B39" w:rsidRPr="005E0EEB">
        <w:t xml:space="preserve">. </w:t>
      </w:r>
      <w:r w:rsidR="00771B39">
        <w:t xml:space="preserve">Nevertheless, it also comprises of </w:t>
      </w:r>
      <w:r w:rsidRPr="005E0EEB">
        <w:t>critical metrics that influence profitability and operational sustainability</w:t>
      </w:r>
      <w:r w:rsidR="00765751">
        <w:t xml:space="preserve"> </w:t>
      </w:r>
      <w:r w:rsidR="00765751" w:rsidRPr="00765751">
        <w:t>(Silva, França &amp; Neto, 2024)</w:t>
      </w:r>
      <w:r w:rsidRPr="005E0EEB">
        <w:t xml:space="preserve">. </w:t>
      </w:r>
      <w:r w:rsidR="00771B39">
        <w:t>Based on t</w:t>
      </w:r>
      <w:r w:rsidRPr="005E0EEB">
        <w:t xml:space="preserve">he </w:t>
      </w:r>
      <w:r w:rsidR="00771B39" w:rsidRPr="005E0EEB">
        <w:t>findings,</w:t>
      </w:r>
      <w:r w:rsidRPr="005E0EEB">
        <w:t xml:space="preserve"> provide practical insights </w:t>
      </w:r>
      <w:r w:rsidR="00771B39" w:rsidRPr="005E0EEB">
        <w:t>into</w:t>
      </w:r>
      <w:r w:rsidRPr="005E0EEB">
        <w:t xml:space="preserve"> managing expenses, setting pricing strategies, and preparing for potential cost fluctuations</w:t>
      </w:r>
      <w:r w:rsidR="00765751">
        <w:t xml:space="preserve"> </w:t>
      </w:r>
      <w:r w:rsidR="00765751" w:rsidRPr="00765751">
        <w:t>(Brunner et al., 2025)</w:t>
      </w:r>
      <w:r w:rsidRPr="005E0EEB">
        <w:t>.</w:t>
      </w:r>
    </w:p>
    <w:p w14:paraId="598C3C29" w14:textId="77777777" w:rsidR="00543F8F" w:rsidRDefault="00543F8F" w:rsidP="00543F8F">
      <w:pPr>
        <w:spacing w:line="480" w:lineRule="auto"/>
        <w:jc w:val="center"/>
        <w:rPr>
          <w:b/>
          <w:bCs/>
        </w:rPr>
      </w:pPr>
      <w:bookmarkStart w:id="0" w:name="_Hlk158375419"/>
      <w:r w:rsidRPr="00835D81">
        <w:rPr>
          <w:b/>
          <w:bCs/>
        </w:rPr>
        <w:t>Defining the Concepts</w:t>
      </w:r>
    </w:p>
    <w:p w14:paraId="16AA1050" w14:textId="3DE7DAD9" w:rsidR="005E0EEB" w:rsidRPr="005E0EEB" w:rsidRDefault="005E0EEB" w:rsidP="002717C3">
      <w:pPr>
        <w:spacing w:line="480" w:lineRule="auto"/>
        <w:jc w:val="both"/>
      </w:pPr>
      <w:r w:rsidRPr="005E0EEB">
        <w:tab/>
      </w:r>
      <w:r w:rsidR="005445D5">
        <w:t>It is evident from the different studies that the f</w:t>
      </w:r>
      <w:r w:rsidRPr="005E0EEB">
        <w:t>ixed costs are expenses that remain constant regardless of how much a business produces or sells—examples include rent, insurance, and long-term contracts</w:t>
      </w:r>
      <w:r w:rsidR="00765751">
        <w:t xml:space="preserve"> </w:t>
      </w:r>
      <w:r w:rsidR="00765751" w:rsidRPr="00765751">
        <w:t>(Brunner et al., 2025)</w:t>
      </w:r>
      <w:r w:rsidRPr="005E0EEB">
        <w:t xml:space="preserve">. </w:t>
      </w:r>
      <w:r w:rsidR="005445D5">
        <w:t>On the basis of that t</w:t>
      </w:r>
      <w:r w:rsidRPr="005E0EEB">
        <w:t>hese costs provide a stable baseline for budgeting but must be paid even during periods of low or no production. In contrast, variable costs fluctuate directly with output volume</w:t>
      </w:r>
      <w:r w:rsidR="00765751">
        <w:t xml:space="preserve"> </w:t>
      </w:r>
      <w:r w:rsidR="00765751" w:rsidRPr="00765751">
        <w:t>(Silva, França &amp; Neto, 2024)</w:t>
      </w:r>
      <w:r w:rsidRPr="005E0EEB">
        <w:t xml:space="preserve">. </w:t>
      </w:r>
      <w:r w:rsidR="005445D5">
        <w:t xml:space="preserve">Nevertheless, it also comprises </w:t>
      </w:r>
      <w:r w:rsidRPr="005E0EEB">
        <w:t>costs such as raw materials, direct labor, commissions, and utilities tied to production activities</w:t>
      </w:r>
      <w:r w:rsidR="00765751">
        <w:t xml:space="preserve"> </w:t>
      </w:r>
      <w:r w:rsidR="00765751" w:rsidRPr="00765751">
        <w:t>(Senanayake et al., 2025)</w:t>
      </w:r>
      <w:r w:rsidRPr="005E0EEB">
        <w:t xml:space="preserve">. </w:t>
      </w:r>
      <w:r w:rsidR="005445D5">
        <w:t xml:space="preserve">Despite the various factors, </w:t>
      </w:r>
      <w:r w:rsidRPr="005E0EEB">
        <w:t>variable costs are less predictable, they offer flexibility as businesses can scale spending up or down with changes in demand</w:t>
      </w:r>
      <w:r>
        <w:t>.</w:t>
      </w:r>
      <w:r w:rsidR="005445D5">
        <w:t xml:space="preserve"> It also tends to analyse that the c</w:t>
      </w:r>
      <w:r w:rsidRPr="005E0EEB">
        <w:t>ontribution margin represents the portion of sales revenue remaining after deducting variable costs. It is calculated as:</w:t>
      </w:r>
    </w:p>
    <w:p w14:paraId="3CF0C46F" w14:textId="77777777" w:rsidR="005E0EEB" w:rsidRDefault="005E0EEB" w:rsidP="002717C3">
      <w:pPr>
        <w:spacing w:line="480" w:lineRule="auto"/>
        <w:ind w:firstLine="720"/>
        <w:jc w:val="both"/>
      </w:pPr>
      <w:r w:rsidRPr="005E0EEB">
        <w:t>Contribution Margin = Sales Revenue − Variable Costs (per unit or in total).</w:t>
      </w:r>
    </w:p>
    <w:p w14:paraId="15407A79" w14:textId="7FAFBEF2" w:rsidR="005E0EEB" w:rsidRPr="005E0EEB" w:rsidRDefault="005445D5" w:rsidP="002717C3">
      <w:pPr>
        <w:spacing w:line="480" w:lineRule="auto"/>
        <w:ind w:firstLine="720"/>
        <w:jc w:val="both"/>
      </w:pPr>
      <w:r>
        <w:t xml:space="preserve">However, it tends to illustrate </w:t>
      </w:r>
      <w:r w:rsidR="005E0EEB" w:rsidRPr="005E0EEB">
        <w:t>how much revenue from each unit sold contributes toward covering fixed costs and generating profit.</w:t>
      </w:r>
      <w:r>
        <w:t xml:space="preserve"> Based on </w:t>
      </w:r>
      <w:r w:rsidR="005E0EEB" w:rsidRPr="005E0EEB">
        <w:t xml:space="preserve">higher contribution </w:t>
      </w:r>
      <w:r w:rsidRPr="005E0EEB">
        <w:t>margins, it</w:t>
      </w:r>
      <w:r w:rsidR="005E0EEB" w:rsidRPr="005E0EEB">
        <w:t xml:space="preserve"> signals greater efficiency and profitability per unit sold</w:t>
      </w:r>
      <w:r w:rsidR="00765751">
        <w:t xml:space="preserve"> </w:t>
      </w:r>
      <w:r w:rsidR="00765751" w:rsidRPr="00765751">
        <w:t>(Brunner et al., 2025)</w:t>
      </w:r>
      <w:r w:rsidR="005E0EEB" w:rsidRPr="005E0EEB">
        <w:t>.</w:t>
      </w:r>
    </w:p>
    <w:p w14:paraId="75F4268A" w14:textId="26C8EC91" w:rsidR="005E0EEB" w:rsidRDefault="005445D5" w:rsidP="002717C3">
      <w:pPr>
        <w:spacing w:line="480" w:lineRule="auto"/>
        <w:ind w:firstLine="720"/>
        <w:jc w:val="both"/>
      </w:pPr>
      <w:r>
        <w:lastRenderedPageBreak/>
        <w:t xml:space="preserve">As per the literature, </w:t>
      </w:r>
      <w:r w:rsidR="005E0EEB" w:rsidRPr="005E0EEB">
        <w:t>break-even point (BEP) is the level of sales at which total revenue equals total costs—both fixed and variable—resulting in zero profit or loss</w:t>
      </w:r>
      <w:r>
        <w:t xml:space="preserve"> and i</w:t>
      </w:r>
      <w:r w:rsidR="005E0EEB" w:rsidRPr="005E0EEB">
        <w:t>n unit terms, it is calculated as:</w:t>
      </w:r>
    </w:p>
    <w:p w14:paraId="379C9DD1" w14:textId="49344DF7" w:rsidR="005E0EEB" w:rsidRDefault="005E0EEB" w:rsidP="005E0EEB">
      <w:pPr>
        <w:spacing w:line="480" w:lineRule="auto"/>
        <w:ind w:firstLine="720"/>
        <w:jc w:val="center"/>
      </w:pPr>
      <w:r>
        <w:rPr>
          <w:noProof/>
        </w:rPr>
        <w:drawing>
          <wp:inline distT="0" distB="0" distL="0" distR="0" wp14:anchorId="769FDB5D" wp14:editId="33A6F0D7">
            <wp:extent cx="3971925" cy="590550"/>
            <wp:effectExtent l="0" t="0" r="9525" b="0"/>
            <wp:docPr id="2121943685" name="Picture 1" descr="A black text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43685" name="Picture 1" descr="A black text with black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9B5F3" w14:textId="1DA9DE36" w:rsidR="005E0EEB" w:rsidRDefault="005E0EEB" w:rsidP="005E0EEB">
      <w:pPr>
        <w:spacing w:line="480" w:lineRule="auto"/>
        <w:ind w:firstLine="720"/>
        <w:jc w:val="center"/>
      </w:pPr>
      <w:r>
        <w:rPr>
          <w:noProof/>
        </w:rPr>
        <w:drawing>
          <wp:inline distT="0" distB="0" distL="0" distR="0" wp14:anchorId="77ECDB46" wp14:editId="12E60711">
            <wp:extent cx="4200525" cy="552450"/>
            <wp:effectExtent l="0" t="0" r="9525" b="0"/>
            <wp:docPr id="251647923" name="Picture 1" descr="A black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47923" name="Picture 1" descr="A black text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05C0" w14:textId="77777777" w:rsidR="005E0EEB" w:rsidRPr="005E0EEB" w:rsidRDefault="005E0EEB" w:rsidP="005E0EEB">
      <w:pPr>
        <w:spacing w:line="480" w:lineRule="auto"/>
      </w:pPr>
    </w:p>
    <w:p w14:paraId="5EBA1980" w14:textId="77777777" w:rsidR="00543F8F" w:rsidRDefault="00543F8F" w:rsidP="00543F8F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Query 1 Analysis - The Data</w:t>
      </w:r>
    </w:p>
    <w:p w14:paraId="79236C30" w14:textId="07DFE72F" w:rsidR="005E0EEB" w:rsidRDefault="005E0EEB" w:rsidP="005E0EEB">
      <w:pPr>
        <w:spacing w:line="48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0C7FBA3" wp14:editId="4CD1AC0F">
            <wp:extent cx="5943600" cy="4544695"/>
            <wp:effectExtent l="0" t="0" r="0" b="8255"/>
            <wp:docPr id="1203639220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0F24" w14:textId="401A36B6" w:rsidR="005E0EEB" w:rsidRPr="005E0EEB" w:rsidRDefault="005E0EEB" w:rsidP="002717C3">
      <w:pPr>
        <w:spacing w:line="480" w:lineRule="auto"/>
        <w:jc w:val="both"/>
      </w:pPr>
      <w:r>
        <w:rPr>
          <w:b/>
          <w:bCs/>
        </w:rPr>
        <w:lastRenderedPageBreak/>
        <w:tab/>
      </w:r>
      <w:r w:rsidR="005445D5">
        <w:t>According to the above analysis which indicates that s</w:t>
      </w:r>
      <w:r w:rsidRPr="005E0EEB">
        <w:t>elling price per unit at $6.00, variable cost per unit at $2.50, and total fixed costs of $9,000 — the contribution margin per unit is $3.50</w:t>
      </w:r>
      <w:r w:rsidR="005445D5">
        <w:t xml:space="preserve"> and t</w:t>
      </w:r>
      <w:r w:rsidRPr="005E0EEB">
        <w:t>his results in a break-even point of approximately 2,572 units, equal to $15,432 in sales revenue.</w:t>
      </w:r>
      <w:r w:rsidR="005445D5">
        <w:t xml:space="preserve"> However, it also illustrates that S</w:t>
      </w:r>
      <w:r w:rsidRPr="005E0EEB">
        <w:t>elling Price per Uni</w:t>
      </w:r>
      <w:r w:rsidR="005445D5">
        <w:t xml:space="preserve">t is </w:t>
      </w:r>
      <w:r w:rsidRPr="005E0EEB">
        <w:t>a $0.25 change can shift the break-even threshold by hundreds of units monthly.</w:t>
      </w:r>
      <w:r w:rsidR="005445D5">
        <w:t xml:space="preserve"> As per the v</w:t>
      </w:r>
      <w:r w:rsidRPr="005E0EEB">
        <w:t xml:space="preserve">ariable </w:t>
      </w:r>
      <w:r w:rsidR="005445D5">
        <w:t>c</w:t>
      </w:r>
      <w:r w:rsidRPr="005E0EEB">
        <w:t>osts</w:t>
      </w:r>
      <w:r w:rsidR="005445D5">
        <w:t xml:space="preserve"> in which c</w:t>
      </w:r>
      <w:r w:rsidRPr="005E0EEB">
        <w:t>offee beans, tea leaves, fresh fruit, and packaging directly influence contribution margin; supplier negotiations or bulk purchasing can control these expenses</w:t>
      </w:r>
      <w:r w:rsidR="00765751">
        <w:t xml:space="preserve"> </w:t>
      </w:r>
      <w:r w:rsidR="00765751" w:rsidRPr="00765751">
        <w:t>(Silva, França &amp; Neto, 2024)</w:t>
      </w:r>
      <w:r w:rsidRPr="005E0EEB">
        <w:t>.</w:t>
      </w:r>
      <w:r w:rsidR="005445D5">
        <w:t xml:space="preserve"> Based on the f</w:t>
      </w:r>
      <w:r w:rsidRPr="005E0EEB">
        <w:t xml:space="preserve">ixed </w:t>
      </w:r>
      <w:r w:rsidR="005445D5">
        <w:t>c</w:t>
      </w:r>
      <w:r w:rsidRPr="005E0EEB">
        <w:t>osts</w:t>
      </w:r>
      <w:r w:rsidR="005445D5">
        <w:t xml:space="preserve"> which include the r</w:t>
      </w:r>
      <w:r w:rsidRPr="005E0EEB">
        <w:t>ent, utilities, insurance, and base wages remain constant regardless of sales, so increases in these directly raise the break-even leve</w:t>
      </w:r>
      <w:r w:rsidR="005445D5">
        <w:t>l</w:t>
      </w:r>
      <w:r w:rsidRPr="005E0EEB">
        <w:t>.</w:t>
      </w:r>
      <w:r w:rsidR="005445D5">
        <w:t xml:space="preserve"> It also includes the s</w:t>
      </w:r>
      <w:r w:rsidRPr="005E0EEB">
        <w:t xml:space="preserve">ales </w:t>
      </w:r>
      <w:r w:rsidR="005445D5">
        <w:t>v</w:t>
      </w:r>
      <w:r w:rsidR="005445D5" w:rsidRPr="005E0EEB">
        <w:t>olume,</w:t>
      </w:r>
      <w:r w:rsidR="005445D5">
        <w:t xml:space="preserve"> which c</w:t>
      </w:r>
      <w:r w:rsidRPr="005E0EEB">
        <w:t xml:space="preserve">onsistently </w:t>
      </w:r>
      <w:r w:rsidR="005445D5" w:rsidRPr="005E0EEB">
        <w:t>exceeds</w:t>
      </w:r>
      <w:r w:rsidRPr="005E0EEB">
        <w:t xml:space="preserve"> 2,572 units per </w:t>
      </w:r>
      <w:r w:rsidR="005445D5" w:rsidRPr="005E0EEB">
        <w:t>month,</w:t>
      </w:r>
      <w:r w:rsidRPr="005E0EEB">
        <w:t xml:space="preserve"> ensures the shop covers all expenses and begins generating profit</w:t>
      </w:r>
      <w:r w:rsidR="00765751">
        <w:t xml:space="preserve"> </w:t>
      </w:r>
      <w:r w:rsidR="00765751" w:rsidRPr="00765751">
        <w:t>(Senanayake et al., 2025)</w:t>
      </w:r>
      <w:r w:rsidRPr="005E0EEB">
        <w:t>.</w:t>
      </w:r>
      <w:r w:rsidR="005445D5">
        <w:t xml:space="preserve"> One of the major factors, c</w:t>
      </w:r>
      <w:r w:rsidRPr="005E0EEB">
        <w:t xml:space="preserve">ontribution </w:t>
      </w:r>
      <w:r w:rsidR="005445D5">
        <w:t>m</w:t>
      </w:r>
      <w:r w:rsidRPr="005E0EEB">
        <w:t xml:space="preserve">argin </w:t>
      </w:r>
      <w:r w:rsidR="005445D5">
        <w:t>r</w:t>
      </w:r>
      <w:r w:rsidRPr="005E0EEB">
        <w:t>atio</w:t>
      </w:r>
      <w:r w:rsidR="005445D5">
        <w:t xml:space="preserve"> is about </w:t>
      </w:r>
      <w:r w:rsidRPr="005E0EEB">
        <w:t>58.3%, this ratio indicates strong cost efficiency but is sensitive to ingredient price fluctuations.</w:t>
      </w:r>
    </w:p>
    <w:p w14:paraId="219FA37F" w14:textId="6905CBB1" w:rsidR="005E0EEB" w:rsidRPr="005445D5" w:rsidRDefault="005445D5" w:rsidP="002717C3">
      <w:pPr>
        <w:spacing w:line="480" w:lineRule="auto"/>
        <w:ind w:firstLine="720"/>
        <w:jc w:val="both"/>
      </w:pPr>
      <w:r>
        <w:t>According to the r</w:t>
      </w:r>
      <w:r w:rsidR="005E0EEB" w:rsidRPr="005E0EEB">
        <w:t>ecent studies (U.S. Chamber of Commerce, 2024) highlight that small food and beverage businesses that conduct monthly break-even analysis adapt faster to market changes, particularly in managing seasonal demand and supplier cost volatility</w:t>
      </w:r>
      <w:r w:rsidR="00765751">
        <w:t xml:space="preserve"> </w:t>
      </w:r>
      <w:r w:rsidR="00765751" w:rsidRPr="00765751">
        <w:t>(Brunner et al., 2025)</w:t>
      </w:r>
      <w:r w:rsidR="005E0EEB" w:rsidRPr="005E0EEB">
        <w:t xml:space="preserve">. </w:t>
      </w:r>
      <w:r>
        <w:t>However, it is also important to understand that m</w:t>
      </w:r>
      <w:r w:rsidR="005E0EEB" w:rsidRPr="005E0EEB">
        <w:t>aintaining up-to-date cost tracking allows timely price adjustments, targeted promotions, and cost-saving measures, safeguarding profitability.</w:t>
      </w:r>
    </w:p>
    <w:p w14:paraId="2B2186A2" w14:textId="77777777" w:rsidR="00543F8F" w:rsidRDefault="00543F8F" w:rsidP="00543F8F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Query 2 – the Calculations</w:t>
      </w:r>
    </w:p>
    <w:p w14:paraId="4AB842B0" w14:textId="7C1431EC" w:rsidR="005E0EEB" w:rsidRPr="005445D5" w:rsidRDefault="005E0EEB" w:rsidP="005E0EEB">
      <w:pPr>
        <w:spacing w:line="480" w:lineRule="auto"/>
        <w:ind w:left="360"/>
      </w:pPr>
      <w:r w:rsidRPr="005445D5">
        <w:t>Selling Price per Unit</w:t>
      </w:r>
      <w:r w:rsidR="005445D5" w:rsidRPr="005445D5">
        <w:t xml:space="preserve"> = </w:t>
      </w:r>
      <w:r w:rsidRPr="005445D5">
        <w:t>$6.00</w:t>
      </w:r>
    </w:p>
    <w:p w14:paraId="19E33E32" w14:textId="0EE03EC9" w:rsidR="005E0EEB" w:rsidRPr="005445D5" w:rsidRDefault="005E0EEB" w:rsidP="005E0EEB">
      <w:pPr>
        <w:spacing w:line="480" w:lineRule="auto"/>
        <w:ind w:left="360"/>
      </w:pPr>
      <w:r w:rsidRPr="005445D5">
        <w:t>Variable Cost per Unit</w:t>
      </w:r>
      <w:r w:rsidR="005445D5" w:rsidRPr="005445D5">
        <w:t xml:space="preserve"> = </w:t>
      </w:r>
      <w:r w:rsidRPr="005445D5">
        <w:t>$2.50</w:t>
      </w:r>
    </w:p>
    <w:p w14:paraId="3DD5B8FD" w14:textId="4361BB93" w:rsidR="005E0EEB" w:rsidRPr="005445D5" w:rsidRDefault="005E0EEB" w:rsidP="005E0EEB">
      <w:pPr>
        <w:spacing w:line="480" w:lineRule="auto"/>
        <w:ind w:left="360"/>
      </w:pPr>
      <w:r w:rsidRPr="005445D5">
        <w:t>Contribution Margin (CM) per Unit</w:t>
      </w:r>
      <w:r w:rsidR="005445D5" w:rsidRPr="005445D5">
        <w:t xml:space="preserve"> = </w:t>
      </w:r>
      <w:r w:rsidRPr="005445D5">
        <w:t>$3.50</w:t>
      </w:r>
    </w:p>
    <w:p w14:paraId="4B269DEC" w14:textId="60B23AD7" w:rsidR="005E0EEB" w:rsidRPr="005445D5" w:rsidRDefault="005E0EEB" w:rsidP="005E0EEB">
      <w:pPr>
        <w:spacing w:line="480" w:lineRule="auto"/>
        <w:ind w:left="360"/>
      </w:pPr>
      <w:r w:rsidRPr="005445D5">
        <w:lastRenderedPageBreak/>
        <w:t>Total Fixed Costs</w:t>
      </w:r>
      <w:r w:rsidR="005445D5" w:rsidRPr="005445D5">
        <w:t xml:space="preserve"> = </w:t>
      </w:r>
      <w:r w:rsidRPr="005445D5">
        <w:t>$9,000</w:t>
      </w:r>
    </w:p>
    <w:p w14:paraId="238542AC" w14:textId="2A158931" w:rsidR="005E0EEB" w:rsidRPr="005445D5" w:rsidRDefault="005E0EEB" w:rsidP="005E0EEB">
      <w:pPr>
        <w:spacing w:line="480" w:lineRule="auto"/>
        <w:ind w:left="360"/>
      </w:pPr>
      <w:r w:rsidRPr="005445D5">
        <w:t>Break-Even Point (in Units)</w:t>
      </w:r>
      <w:r w:rsidR="005445D5">
        <w:t xml:space="preserve"> = </w:t>
      </w:r>
      <w:r w:rsidRPr="005445D5">
        <w:t>2,572 units</w:t>
      </w:r>
    </w:p>
    <w:p w14:paraId="4A5B9574" w14:textId="5C0E5813" w:rsidR="005E0EEB" w:rsidRPr="005445D5" w:rsidRDefault="005E0EEB" w:rsidP="005E0EEB">
      <w:pPr>
        <w:spacing w:line="480" w:lineRule="auto"/>
        <w:ind w:left="360"/>
      </w:pPr>
      <w:r w:rsidRPr="005445D5">
        <w:t>Break-Even Point (in Dollars)</w:t>
      </w:r>
      <w:r w:rsidR="005445D5">
        <w:t xml:space="preserve"> = </w:t>
      </w:r>
      <w:r w:rsidRPr="005445D5">
        <w:t>$15,432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80"/>
        <w:gridCol w:w="2864"/>
      </w:tblGrid>
      <w:tr w:rsidR="005E0EEB" w:rsidRPr="005E0EEB" w14:paraId="0E9A5E55" w14:textId="77777777" w:rsidTr="005E0EEB">
        <w:tc>
          <w:tcPr>
            <w:tcW w:w="0" w:type="auto"/>
            <w:hideMark/>
          </w:tcPr>
          <w:p w14:paraId="47BECF63" w14:textId="178D58C6" w:rsidR="005E0EEB" w:rsidRPr="005E0EEB" w:rsidRDefault="005E0EEB" w:rsidP="005E0EEB">
            <w:pPr>
              <w:spacing w:line="480" w:lineRule="auto"/>
              <w:rPr>
                <w:b/>
                <w:bCs/>
              </w:rPr>
            </w:pPr>
            <w:r w:rsidRPr="005E0EEB">
              <w:rPr>
                <w:b/>
                <w:bCs/>
              </w:rPr>
              <w:t xml:space="preserve">Factors </w:t>
            </w:r>
          </w:p>
        </w:tc>
        <w:tc>
          <w:tcPr>
            <w:tcW w:w="0" w:type="auto"/>
            <w:hideMark/>
          </w:tcPr>
          <w:p w14:paraId="7E26E31A" w14:textId="77777777" w:rsidR="005E0EEB" w:rsidRPr="005E0EEB" w:rsidRDefault="005E0EEB" w:rsidP="005E0EEB">
            <w:pPr>
              <w:spacing w:line="480" w:lineRule="auto"/>
            </w:pPr>
            <w:r w:rsidRPr="005E0EEB">
              <w:t>Formula</w:t>
            </w:r>
          </w:p>
        </w:tc>
        <w:tc>
          <w:tcPr>
            <w:tcW w:w="0" w:type="auto"/>
            <w:hideMark/>
          </w:tcPr>
          <w:p w14:paraId="34E349FE" w14:textId="77777777" w:rsidR="005E0EEB" w:rsidRPr="005E0EEB" w:rsidRDefault="005E0EEB" w:rsidP="005E0EEB">
            <w:pPr>
              <w:spacing w:line="480" w:lineRule="auto"/>
            </w:pPr>
            <w:r w:rsidRPr="005E0EEB">
              <w:t>Value</w:t>
            </w:r>
          </w:p>
        </w:tc>
      </w:tr>
      <w:tr w:rsidR="005E0EEB" w:rsidRPr="005E0EEB" w14:paraId="0C813DB9" w14:textId="77777777" w:rsidTr="005E0EEB">
        <w:tc>
          <w:tcPr>
            <w:tcW w:w="0" w:type="auto"/>
            <w:hideMark/>
          </w:tcPr>
          <w:p w14:paraId="53219A2D" w14:textId="77777777" w:rsidR="005E0EEB" w:rsidRPr="005E0EEB" w:rsidRDefault="005E0EEB" w:rsidP="005E0EEB">
            <w:pPr>
              <w:spacing w:line="480" w:lineRule="auto"/>
              <w:rPr>
                <w:b/>
                <w:bCs/>
              </w:rPr>
            </w:pPr>
            <w:r w:rsidRPr="005E0EEB">
              <w:rPr>
                <w:b/>
                <w:bCs/>
              </w:rPr>
              <w:t>Contribution Margin per Unit</w:t>
            </w:r>
          </w:p>
        </w:tc>
        <w:tc>
          <w:tcPr>
            <w:tcW w:w="0" w:type="auto"/>
            <w:hideMark/>
          </w:tcPr>
          <w:p w14:paraId="4B248C22" w14:textId="77777777" w:rsidR="005E0EEB" w:rsidRPr="005E0EEB" w:rsidRDefault="005E0EEB" w:rsidP="005E0EEB">
            <w:pPr>
              <w:spacing w:line="480" w:lineRule="auto"/>
            </w:pPr>
            <w:r w:rsidRPr="005E0EEB">
              <w:t>Selling Price − Variable Cost</w:t>
            </w:r>
          </w:p>
        </w:tc>
        <w:tc>
          <w:tcPr>
            <w:tcW w:w="0" w:type="auto"/>
            <w:hideMark/>
          </w:tcPr>
          <w:p w14:paraId="5420E1BF" w14:textId="77777777" w:rsidR="005E0EEB" w:rsidRPr="005E0EEB" w:rsidRDefault="005E0EEB" w:rsidP="005E0EEB">
            <w:pPr>
              <w:spacing w:line="480" w:lineRule="auto"/>
            </w:pPr>
            <w:r w:rsidRPr="005E0EEB">
              <w:t>$6.00 − $2.50 = $3.50</w:t>
            </w:r>
          </w:p>
        </w:tc>
      </w:tr>
      <w:tr w:rsidR="005E0EEB" w:rsidRPr="005E0EEB" w14:paraId="3DB70AF3" w14:textId="77777777" w:rsidTr="005E0EEB">
        <w:tc>
          <w:tcPr>
            <w:tcW w:w="0" w:type="auto"/>
            <w:hideMark/>
          </w:tcPr>
          <w:p w14:paraId="552993CF" w14:textId="77777777" w:rsidR="005E0EEB" w:rsidRPr="005E0EEB" w:rsidRDefault="005E0EEB" w:rsidP="005E0EEB">
            <w:pPr>
              <w:spacing w:line="480" w:lineRule="auto"/>
              <w:rPr>
                <w:b/>
                <w:bCs/>
              </w:rPr>
            </w:pPr>
            <w:r w:rsidRPr="005E0EEB">
              <w:rPr>
                <w:b/>
                <w:bCs/>
              </w:rPr>
              <w:t>Break-Even Units</w:t>
            </w:r>
          </w:p>
        </w:tc>
        <w:tc>
          <w:tcPr>
            <w:tcW w:w="0" w:type="auto"/>
            <w:hideMark/>
          </w:tcPr>
          <w:p w14:paraId="37184F7B" w14:textId="77777777" w:rsidR="005E0EEB" w:rsidRPr="005E0EEB" w:rsidRDefault="005E0EEB" w:rsidP="005E0EEB">
            <w:pPr>
              <w:spacing w:line="480" w:lineRule="auto"/>
            </w:pPr>
            <w:r w:rsidRPr="005E0EEB">
              <w:t>Fixed Costs ÷ CM per Unit</w:t>
            </w:r>
          </w:p>
        </w:tc>
        <w:tc>
          <w:tcPr>
            <w:tcW w:w="0" w:type="auto"/>
            <w:hideMark/>
          </w:tcPr>
          <w:p w14:paraId="3AADEF03" w14:textId="77777777" w:rsidR="005E0EEB" w:rsidRPr="005E0EEB" w:rsidRDefault="005E0EEB" w:rsidP="005E0EEB">
            <w:pPr>
              <w:spacing w:line="480" w:lineRule="auto"/>
            </w:pPr>
            <w:r w:rsidRPr="005E0EEB">
              <w:t>$9,000 ÷ $3.50 = 2,572 units</w:t>
            </w:r>
          </w:p>
        </w:tc>
      </w:tr>
      <w:tr w:rsidR="005E0EEB" w:rsidRPr="005E0EEB" w14:paraId="358292AF" w14:textId="77777777" w:rsidTr="005E0EEB">
        <w:tc>
          <w:tcPr>
            <w:tcW w:w="0" w:type="auto"/>
            <w:hideMark/>
          </w:tcPr>
          <w:p w14:paraId="322BE358" w14:textId="77777777" w:rsidR="005E0EEB" w:rsidRPr="005E0EEB" w:rsidRDefault="005E0EEB" w:rsidP="005E0EEB">
            <w:pPr>
              <w:spacing w:line="480" w:lineRule="auto"/>
              <w:rPr>
                <w:b/>
                <w:bCs/>
              </w:rPr>
            </w:pPr>
            <w:r w:rsidRPr="005E0EEB">
              <w:rPr>
                <w:b/>
                <w:bCs/>
              </w:rPr>
              <w:t>Break-Even Dollars</w:t>
            </w:r>
          </w:p>
        </w:tc>
        <w:tc>
          <w:tcPr>
            <w:tcW w:w="0" w:type="auto"/>
            <w:hideMark/>
          </w:tcPr>
          <w:p w14:paraId="58BD835B" w14:textId="77777777" w:rsidR="005E0EEB" w:rsidRPr="005E0EEB" w:rsidRDefault="005E0EEB" w:rsidP="005E0EEB">
            <w:pPr>
              <w:spacing w:line="480" w:lineRule="auto"/>
            </w:pPr>
            <w:r w:rsidRPr="005E0EEB">
              <w:t>Break-Even Units × Selling Price</w:t>
            </w:r>
          </w:p>
        </w:tc>
        <w:tc>
          <w:tcPr>
            <w:tcW w:w="0" w:type="auto"/>
            <w:hideMark/>
          </w:tcPr>
          <w:p w14:paraId="79651279" w14:textId="77777777" w:rsidR="005E0EEB" w:rsidRPr="005E0EEB" w:rsidRDefault="005E0EEB" w:rsidP="005E0EEB">
            <w:pPr>
              <w:spacing w:line="480" w:lineRule="auto"/>
            </w:pPr>
            <w:r w:rsidRPr="005E0EEB">
              <w:t>2,572 × $6.00 = $15,432</w:t>
            </w:r>
          </w:p>
        </w:tc>
      </w:tr>
    </w:tbl>
    <w:p w14:paraId="6E373D09" w14:textId="31E9B29E" w:rsidR="005E0EEB" w:rsidRDefault="005E0EEB" w:rsidP="005E0EEB">
      <w:pPr>
        <w:spacing w:line="480" w:lineRule="auto"/>
        <w:rPr>
          <w:b/>
          <w:bCs/>
        </w:rPr>
      </w:pPr>
    </w:p>
    <w:p w14:paraId="459278D5" w14:textId="5D14F6AC" w:rsidR="005E0EEB" w:rsidRPr="005445D5" w:rsidRDefault="005E0EEB" w:rsidP="005E0EEB">
      <w:pPr>
        <w:spacing w:line="480" w:lineRule="auto"/>
      </w:pPr>
      <w:r w:rsidRPr="005E0EEB">
        <w:tab/>
      </w:r>
      <w:r w:rsidR="005445D5">
        <w:t xml:space="preserve">It tends to analyse from the above table that the </w:t>
      </w:r>
      <w:r w:rsidRPr="005E0EEB">
        <w:t>business must sell 2,572 units per month, generating $15,432 in revenue, to fully cover its fixed and variable costs before making a profit.</w:t>
      </w:r>
    </w:p>
    <w:p w14:paraId="11FC98FC" w14:textId="77777777" w:rsidR="00543F8F" w:rsidRDefault="00543F8F" w:rsidP="00543F8F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Query 3 – Fixed Cost Increase</w:t>
      </w:r>
    </w:p>
    <w:p w14:paraId="02387B98" w14:textId="31427E57" w:rsidR="005E0EEB" w:rsidRPr="005E0EEB" w:rsidRDefault="005E0EEB" w:rsidP="005E0EEB">
      <w:pPr>
        <w:spacing w:line="480" w:lineRule="auto"/>
        <w:ind w:firstLine="360"/>
      </w:pPr>
      <w:r w:rsidRPr="005E0EEB">
        <w:t>Original Fixed Costs (per month)</w:t>
      </w:r>
      <w:r w:rsidR="005445D5">
        <w:t xml:space="preserve"> = </w:t>
      </w:r>
      <w:r w:rsidRPr="005E0EEB">
        <w:t>$9,000</w:t>
      </w:r>
    </w:p>
    <w:p w14:paraId="2C117C4E" w14:textId="5EF5900B" w:rsidR="005E0EEB" w:rsidRPr="005E0EEB" w:rsidRDefault="005E0EEB" w:rsidP="005445D5">
      <w:pPr>
        <w:spacing w:line="480" w:lineRule="auto"/>
        <w:ind w:firstLine="720"/>
      </w:pPr>
      <w:r w:rsidRPr="005E0EEB">
        <w:t>20% Increase</w:t>
      </w:r>
    </w:p>
    <w:p w14:paraId="35DA817F" w14:textId="77777777" w:rsidR="005E0EEB" w:rsidRDefault="005E0EEB" w:rsidP="00C76F0E">
      <w:pPr>
        <w:numPr>
          <w:ilvl w:val="0"/>
          <w:numId w:val="1"/>
        </w:numPr>
        <w:spacing w:line="480" w:lineRule="auto"/>
      </w:pPr>
      <w:r w:rsidRPr="005E0EEB">
        <w:t>New Fixed Costs: $9,000 × 1.20 = $10,800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02"/>
        <w:gridCol w:w="1814"/>
        <w:gridCol w:w="3734"/>
      </w:tblGrid>
      <w:tr w:rsidR="0002426A" w:rsidRPr="0002426A" w14:paraId="251E3A93" w14:textId="77777777" w:rsidTr="0002426A">
        <w:tc>
          <w:tcPr>
            <w:tcW w:w="2033" w:type="pct"/>
            <w:hideMark/>
          </w:tcPr>
          <w:p w14:paraId="277EA474" w14:textId="77777777" w:rsidR="0002426A" w:rsidRPr="0002426A" w:rsidRDefault="0002426A" w:rsidP="0002426A">
            <w:pPr>
              <w:spacing w:line="480" w:lineRule="auto"/>
              <w:rPr>
                <w:b/>
                <w:bCs/>
              </w:rPr>
            </w:pPr>
            <w:r w:rsidRPr="0002426A">
              <w:rPr>
                <w:b/>
                <w:bCs/>
              </w:rPr>
              <w:t>Metric</w:t>
            </w:r>
          </w:p>
        </w:tc>
        <w:tc>
          <w:tcPr>
            <w:tcW w:w="970" w:type="pct"/>
            <w:hideMark/>
          </w:tcPr>
          <w:p w14:paraId="4077CE2F" w14:textId="77777777" w:rsidR="0002426A" w:rsidRPr="0002426A" w:rsidRDefault="0002426A" w:rsidP="0002426A">
            <w:pPr>
              <w:spacing w:line="480" w:lineRule="auto"/>
              <w:rPr>
                <w:b/>
                <w:bCs/>
              </w:rPr>
            </w:pPr>
            <w:r w:rsidRPr="0002426A">
              <w:rPr>
                <w:b/>
                <w:bCs/>
              </w:rPr>
              <w:t>Original</w:t>
            </w:r>
          </w:p>
        </w:tc>
        <w:tc>
          <w:tcPr>
            <w:tcW w:w="1997" w:type="pct"/>
            <w:hideMark/>
          </w:tcPr>
          <w:p w14:paraId="4F2DA4F5" w14:textId="77777777" w:rsidR="0002426A" w:rsidRPr="0002426A" w:rsidRDefault="0002426A" w:rsidP="0002426A">
            <w:pPr>
              <w:spacing w:line="480" w:lineRule="auto"/>
              <w:rPr>
                <w:b/>
                <w:bCs/>
              </w:rPr>
            </w:pPr>
            <w:r w:rsidRPr="0002426A">
              <w:rPr>
                <w:b/>
                <w:bCs/>
              </w:rPr>
              <w:t>After 20% Increase</w:t>
            </w:r>
          </w:p>
        </w:tc>
      </w:tr>
      <w:tr w:rsidR="0002426A" w:rsidRPr="0002426A" w14:paraId="57F7440D" w14:textId="77777777" w:rsidTr="0002426A">
        <w:tc>
          <w:tcPr>
            <w:tcW w:w="2033" w:type="pct"/>
            <w:hideMark/>
          </w:tcPr>
          <w:p w14:paraId="13B9DEA4" w14:textId="77777777" w:rsidR="0002426A" w:rsidRPr="0002426A" w:rsidRDefault="0002426A" w:rsidP="0002426A">
            <w:pPr>
              <w:spacing w:line="480" w:lineRule="auto"/>
            </w:pPr>
            <w:r w:rsidRPr="0002426A">
              <w:t>Fixed Costs ($)</w:t>
            </w:r>
          </w:p>
        </w:tc>
        <w:tc>
          <w:tcPr>
            <w:tcW w:w="970" w:type="pct"/>
            <w:hideMark/>
          </w:tcPr>
          <w:p w14:paraId="5C9EE6C2" w14:textId="77777777" w:rsidR="0002426A" w:rsidRPr="0002426A" w:rsidRDefault="0002426A" w:rsidP="0002426A">
            <w:pPr>
              <w:spacing w:line="480" w:lineRule="auto"/>
            </w:pPr>
            <w:r w:rsidRPr="0002426A">
              <w:t>$9,000</w:t>
            </w:r>
          </w:p>
        </w:tc>
        <w:tc>
          <w:tcPr>
            <w:tcW w:w="1997" w:type="pct"/>
            <w:hideMark/>
          </w:tcPr>
          <w:p w14:paraId="57078E9F" w14:textId="77777777" w:rsidR="0002426A" w:rsidRPr="0002426A" w:rsidRDefault="0002426A" w:rsidP="0002426A">
            <w:pPr>
              <w:spacing w:line="480" w:lineRule="auto"/>
            </w:pPr>
            <w:r w:rsidRPr="0002426A">
              <w:t>$10,800</w:t>
            </w:r>
          </w:p>
        </w:tc>
      </w:tr>
      <w:tr w:rsidR="0002426A" w:rsidRPr="0002426A" w14:paraId="456A81CA" w14:textId="77777777" w:rsidTr="0002426A">
        <w:tc>
          <w:tcPr>
            <w:tcW w:w="2033" w:type="pct"/>
            <w:hideMark/>
          </w:tcPr>
          <w:p w14:paraId="43FA7BD7" w14:textId="77777777" w:rsidR="0002426A" w:rsidRPr="0002426A" w:rsidRDefault="0002426A" w:rsidP="0002426A">
            <w:pPr>
              <w:spacing w:line="480" w:lineRule="auto"/>
            </w:pPr>
            <w:r w:rsidRPr="0002426A">
              <w:t>Break-Even Units</w:t>
            </w:r>
          </w:p>
        </w:tc>
        <w:tc>
          <w:tcPr>
            <w:tcW w:w="970" w:type="pct"/>
            <w:hideMark/>
          </w:tcPr>
          <w:p w14:paraId="7B6DCE21" w14:textId="77777777" w:rsidR="0002426A" w:rsidRPr="0002426A" w:rsidRDefault="0002426A" w:rsidP="0002426A">
            <w:pPr>
              <w:spacing w:line="480" w:lineRule="auto"/>
            </w:pPr>
            <w:r w:rsidRPr="0002426A">
              <w:t>2,572</w:t>
            </w:r>
          </w:p>
        </w:tc>
        <w:tc>
          <w:tcPr>
            <w:tcW w:w="1997" w:type="pct"/>
            <w:hideMark/>
          </w:tcPr>
          <w:p w14:paraId="3E89BED3" w14:textId="77777777" w:rsidR="0002426A" w:rsidRPr="0002426A" w:rsidRDefault="0002426A" w:rsidP="0002426A">
            <w:pPr>
              <w:spacing w:line="480" w:lineRule="auto"/>
            </w:pPr>
            <w:r w:rsidRPr="0002426A">
              <w:t>3,086</w:t>
            </w:r>
          </w:p>
        </w:tc>
      </w:tr>
      <w:tr w:rsidR="0002426A" w:rsidRPr="0002426A" w14:paraId="278F49CD" w14:textId="77777777" w:rsidTr="0002426A">
        <w:tc>
          <w:tcPr>
            <w:tcW w:w="2033" w:type="pct"/>
            <w:hideMark/>
          </w:tcPr>
          <w:p w14:paraId="2201F3C2" w14:textId="77777777" w:rsidR="0002426A" w:rsidRPr="0002426A" w:rsidRDefault="0002426A" w:rsidP="0002426A">
            <w:pPr>
              <w:spacing w:line="480" w:lineRule="auto"/>
            </w:pPr>
            <w:r w:rsidRPr="0002426A">
              <w:t>Break-Even Sales ($)</w:t>
            </w:r>
          </w:p>
        </w:tc>
        <w:tc>
          <w:tcPr>
            <w:tcW w:w="970" w:type="pct"/>
            <w:hideMark/>
          </w:tcPr>
          <w:p w14:paraId="3FF116FE" w14:textId="77777777" w:rsidR="0002426A" w:rsidRPr="0002426A" w:rsidRDefault="0002426A" w:rsidP="0002426A">
            <w:pPr>
              <w:spacing w:line="480" w:lineRule="auto"/>
            </w:pPr>
            <w:r w:rsidRPr="0002426A">
              <w:t>$15,432</w:t>
            </w:r>
          </w:p>
        </w:tc>
        <w:tc>
          <w:tcPr>
            <w:tcW w:w="1997" w:type="pct"/>
            <w:hideMark/>
          </w:tcPr>
          <w:p w14:paraId="1F0BECFC" w14:textId="77777777" w:rsidR="0002426A" w:rsidRPr="0002426A" w:rsidRDefault="0002426A" w:rsidP="0002426A">
            <w:pPr>
              <w:spacing w:line="480" w:lineRule="auto"/>
            </w:pPr>
            <w:r w:rsidRPr="0002426A">
              <w:t>$18,515</w:t>
            </w:r>
          </w:p>
        </w:tc>
      </w:tr>
    </w:tbl>
    <w:p w14:paraId="79E436BD" w14:textId="77777777" w:rsidR="0002426A" w:rsidRPr="005E0EEB" w:rsidRDefault="0002426A" w:rsidP="0002426A">
      <w:pPr>
        <w:spacing w:line="480" w:lineRule="auto"/>
      </w:pPr>
    </w:p>
    <w:p w14:paraId="63C347E6" w14:textId="793F0E05" w:rsidR="005445D5" w:rsidRDefault="005E0EEB" w:rsidP="002717C3">
      <w:pPr>
        <w:spacing w:line="480" w:lineRule="auto"/>
        <w:ind w:firstLine="720"/>
        <w:jc w:val="both"/>
      </w:pPr>
      <w:r w:rsidRPr="005E0EEB">
        <w:lastRenderedPageBreak/>
        <w:t>A</w:t>
      </w:r>
      <w:r w:rsidR="005445D5">
        <w:t>s per the analysis which indicates that the</w:t>
      </w:r>
      <w:r w:rsidRPr="005E0EEB">
        <w:t xml:space="preserve"> 20% rise in fixed costs—boosting monthly overhead from $9,000 to $10,800—raises the break-even threshold significantly. </w:t>
      </w:r>
      <w:r w:rsidR="005445D5">
        <w:t>In accordance w</w:t>
      </w:r>
      <w:r w:rsidRPr="005E0EEB">
        <w:t xml:space="preserve">ith the contribution margin unchanged at $3.50/unit, the shop now must sell 3,086 units per month (10,800 ÷ 3.50) or generate about $18,515 in revenue (3,086 units × $6.00) just to reach break-even. </w:t>
      </w:r>
      <w:r w:rsidR="005445D5">
        <w:t>On the basis of that t</w:t>
      </w:r>
      <w:r w:rsidRPr="005E0EEB">
        <w:t>his means the business faces a higher sales burden before generating any profit, increasing risk during slower demand periods</w:t>
      </w:r>
      <w:r w:rsidR="00765751">
        <w:t xml:space="preserve"> </w:t>
      </w:r>
      <w:r w:rsidR="00765751" w:rsidRPr="00765751">
        <w:t>(Senanayake et al., 2025)</w:t>
      </w:r>
      <w:r w:rsidRPr="005E0EEB">
        <w:t>.</w:t>
      </w:r>
    </w:p>
    <w:p w14:paraId="07932FA6" w14:textId="0183B080" w:rsidR="0002426A" w:rsidRPr="00836F27" w:rsidRDefault="005445D5" w:rsidP="002717C3">
      <w:pPr>
        <w:spacing w:line="480" w:lineRule="auto"/>
        <w:ind w:firstLine="720"/>
        <w:jc w:val="both"/>
      </w:pPr>
      <w:r>
        <w:t xml:space="preserve">One of the major </w:t>
      </w:r>
      <w:r w:rsidR="00836F27">
        <w:t>impacts</w:t>
      </w:r>
      <w:r>
        <w:t xml:space="preserve"> includes the r</w:t>
      </w:r>
      <w:r w:rsidR="0002426A" w:rsidRPr="0002426A">
        <w:t xml:space="preserve">ent for small business clients in the U.S. jumped </w:t>
      </w:r>
      <w:r w:rsidR="0002426A" w:rsidRPr="0002426A">
        <w:rPr>
          <w:b/>
          <w:bCs/>
        </w:rPr>
        <w:t>11% year-over-year in July 2024</w:t>
      </w:r>
      <w:r w:rsidR="0002426A" w:rsidRPr="0002426A">
        <w:t>, more than double the rise in residential rental costs (5.1%), putting added strain on margins.</w:t>
      </w:r>
      <w:r>
        <w:t xml:space="preserve"> It also includes m</w:t>
      </w:r>
      <w:r w:rsidR="0002426A" w:rsidRPr="0002426A">
        <w:t xml:space="preserve">any businesses </w:t>
      </w:r>
      <w:r w:rsidR="00836F27" w:rsidRPr="0002426A">
        <w:t>responding</w:t>
      </w:r>
      <w:r w:rsidR="0002426A" w:rsidRPr="0002426A">
        <w:t xml:space="preserve"> by raising prices, relocating, or renegotiating—none of which are guaranteed long-term solutions.</w:t>
      </w:r>
      <w:r>
        <w:t xml:space="preserve"> </w:t>
      </w:r>
      <w:r w:rsidR="00836F27">
        <w:t xml:space="preserve">It also tends to suggest that the </w:t>
      </w:r>
      <w:r w:rsidR="0002426A" w:rsidRPr="0002426A">
        <w:t xml:space="preserve">U.S. utilities saw requests for rate increases balloon to </w:t>
      </w:r>
      <w:r w:rsidR="0002426A" w:rsidRPr="0002426A">
        <w:rPr>
          <w:b/>
          <w:bCs/>
        </w:rPr>
        <w:t>$29 billion</w:t>
      </w:r>
      <w:r w:rsidR="0002426A" w:rsidRPr="0002426A">
        <w:t xml:space="preserve"> in the first half of 2025, nearly doubling compared to 2024</w:t>
      </w:r>
      <w:r w:rsidR="00765751">
        <w:t xml:space="preserve"> </w:t>
      </w:r>
      <w:r w:rsidR="00765751" w:rsidRPr="00765751">
        <w:t>(Husemann, Kirste &amp; Stumpf, 2024)</w:t>
      </w:r>
      <w:r w:rsidR="0002426A" w:rsidRPr="0002426A">
        <w:t>. Regions already under strain may face even larger jumps</w:t>
      </w:r>
      <w:r w:rsidR="00765751">
        <w:t xml:space="preserve"> </w:t>
      </w:r>
      <w:r w:rsidR="00765751" w:rsidRPr="00765751">
        <w:t>(Silva, França &amp; Neto, 2024)</w:t>
      </w:r>
      <w:r w:rsidR="0002426A" w:rsidRPr="0002426A">
        <w:t>.</w:t>
      </w:r>
      <w:r w:rsidR="00836F27">
        <w:t xml:space="preserve"> It also comprises of </w:t>
      </w:r>
      <w:r w:rsidR="0002426A" w:rsidRPr="0002426A">
        <w:t xml:space="preserve">consumer utility </w:t>
      </w:r>
      <w:r w:rsidR="00836F27" w:rsidRPr="0002426A">
        <w:t>bills which</w:t>
      </w:r>
      <w:r w:rsidR="0002426A" w:rsidRPr="0002426A">
        <w:t xml:space="preserve"> rose </w:t>
      </w:r>
      <w:r w:rsidR="0002426A" w:rsidRPr="0002426A">
        <w:rPr>
          <w:b/>
          <w:bCs/>
        </w:rPr>
        <w:t>6% year-over-year</w:t>
      </w:r>
      <w:r w:rsidR="0002426A" w:rsidRPr="0002426A">
        <w:t xml:space="preserve"> by January 2025, substantially higher than the broader inflation rate (2.5%), underscoring rising operational costs</w:t>
      </w:r>
      <w:r w:rsidR="00765751">
        <w:t xml:space="preserve"> </w:t>
      </w:r>
      <w:r w:rsidR="00765751" w:rsidRPr="00765751">
        <w:t>(Senanayake et al., 2025)</w:t>
      </w:r>
      <w:r w:rsidR="0002426A" w:rsidRPr="0002426A">
        <w:t xml:space="preserve">. </w:t>
      </w:r>
    </w:p>
    <w:p w14:paraId="358095D2" w14:textId="45395B56" w:rsidR="0002426A" w:rsidRPr="00836F27" w:rsidRDefault="0002426A" w:rsidP="002717C3">
      <w:pPr>
        <w:spacing w:line="480" w:lineRule="auto"/>
        <w:ind w:firstLine="720"/>
        <w:jc w:val="both"/>
      </w:pPr>
      <w:r w:rsidRPr="0002426A">
        <w:t xml:space="preserve">In </w:t>
      </w:r>
      <w:r w:rsidR="00836F27">
        <w:t xml:space="preserve">accordance with </w:t>
      </w:r>
      <w:r w:rsidRPr="0002426A">
        <w:t xml:space="preserve">Australia, small businesses, especially cafés and restaurants, are confronting extreme energy prices and soaring overheads. </w:t>
      </w:r>
      <w:r w:rsidR="00836F27">
        <w:t>As per the analysis, e</w:t>
      </w:r>
      <w:r w:rsidRPr="0002426A">
        <w:t xml:space="preserve">nergy bills have doubled in recent years, leading to reduced staffing and operating hours. </w:t>
      </w:r>
      <w:r w:rsidR="00836F27">
        <w:t xml:space="preserve"> Based on the h</w:t>
      </w:r>
      <w:r w:rsidRPr="0002426A">
        <w:t xml:space="preserve">ospitality venues worldwide are increasingly closing due to surging rent and cost pressures—one Sydney restaurant is shuttering after five years due to unsustainable rent increases. </w:t>
      </w:r>
    </w:p>
    <w:p w14:paraId="78AA9EF5" w14:textId="4BAD0C7F" w:rsidR="0002426A" w:rsidRPr="005E0EEB" w:rsidRDefault="00836F27" w:rsidP="002717C3">
      <w:pPr>
        <w:spacing w:line="480" w:lineRule="auto"/>
        <w:ind w:firstLine="720"/>
        <w:jc w:val="both"/>
      </w:pPr>
      <w:r w:rsidRPr="00836F27">
        <w:t>One of the major impact and factor includes that i</w:t>
      </w:r>
      <w:r w:rsidR="0002426A" w:rsidRPr="00836F27">
        <w:t>nflation may have stabilized, but fixed expense categories—such as commercial rent and utilities—remain on a steady upward trajectory, exacerbating financial risk for small businesses.</w:t>
      </w:r>
      <w:r>
        <w:t xml:space="preserve"> It also includes the r</w:t>
      </w:r>
      <w:r w:rsidR="0002426A" w:rsidRPr="0002426A">
        <w:t xml:space="preserve">aising prices is a necessary </w:t>
      </w:r>
      <w:r w:rsidR="0002426A" w:rsidRPr="0002426A">
        <w:lastRenderedPageBreak/>
        <w:t xml:space="preserve">countermeasure but risks alienating price-conscious consumers and reducing demand. </w:t>
      </w:r>
      <w:r>
        <w:t xml:space="preserve"> As per the s</w:t>
      </w:r>
      <w:r w:rsidR="0002426A" w:rsidRPr="0002426A">
        <w:t xml:space="preserve">mall businesses </w:t>
      </w:r>
      <w:r>
        <w:t xml:space="preserve">which </w:t>
      </w:r>
      <w:r w:rsidR="0002426A" w:rsidRPr="0002426A">
        <w:t xml:space="preserve">are </w:t>
      </w:r>
      <w:r>
        <w:t xml:space="preserve">ultimately </w:t>
      </w:r>
      <w:r w:rsidR="0002426A" w:rsidRPr="0002426A">
        <w:t xml:space="preserve">trimming staff, cutting hours, seeking more affordable locations, or exploring operating </w:t>
      </w:r>
      <w:r w:rsidRPr="0002426A">
        <w:t xml:space="preserve">efficiencies, </w:t>
      </w:r>
      <w:r w:rsidR="0002426A" w:rsidRPr="0002426A">
        <w:t>though these often come with trade-offs in service or capacity</w:t>
      </w:r>
      <w:r w:rsidR="00765751">
        <w:t xml:space="preserve"> </w:t>
      </w:r>
      <w:r w:rsidR="00765751" w:rsidRPr="00765751">
        <w:t>(Husemann, Kirste &amp; Stumpf, 2024)</w:t>
      </w:r>
      <w:r w:rsidR="0002426A" w:rsidRPr="0002426A">
        <w:t xml:space="preserve">. </w:t>
      </w:r>
    </w:p>
    <w:p w14:paraId="18DA4841" w14:textId="77777777" w:rsidR="00543F8F" w:rsidRDefault="00543F8F" w:rsidP="00543F8F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Query 4 – Wage Increase</w:t>
      </w:r>
    </w:p>
    <w:p w14:paraId="7969746B" w14:textId="484EBF04" w:rsidR="0002426A" w:rsidRPr="00836F27" w:rsidRDefault="00836F27" w:rsidP="0002426A">
      <w:pPr>
        <w:spacing w:line="480" w:lineRule="auto"/>
        <w:ind w:firstLine="720"/>
      </w:pPr>
      <w:r w:rsidRPr="00836F27">
        <w:t>According to the o</w:t>
      </w:r>
      <w:r w:rsidR="0002426A" w:rsidRPr="00836F27">
        <w:t>riginal Wage Component of Fixed Costs (Estimated): $3,000 (assumed portion of total fixed costs tied to wages)</w:t>
      </w:r>
    </w:p>
    <w:p w14:paraId="5DA43264" w14:textId="655E5D24" w:rsidR="0002426A" w:rsidRPr="00836F27" w:rsidRDefault="0002426A" w:rsidP="0002426A">
      <w:pPr>
        <w:spacing w:line="480" w:lineRule="auto"/>
        <w:ind w:firstLine="720"/>
      </w:pPr>
      <w:r w:rsidRPr="00836F27">
        <w:t>10% Wage Increase:</w:t>
      </w:r>
    </w:p>
    <w:p w14:paraId="7F2E1A8A" w14:textId="5B8CA78E" w:rsidR="0002426A" w:rsidRPr="00836F27" w:rsidRDefault="0002426A" w:rsidP="00C76F0E">
      <w:pPr>
        <w:numPr>
          <w:ilvl w:val="0"/>
          <w:numId w:val="2"/>
        </w:numPr>
        <w:spacing w:line="480" w:lineRule="auto"/>
      </w:pPr>
      <w:r w:rsidRPr="00836F27">
        <w:t>New Wage Costs</w:t>
      </w:r>
      <w:r w:rsidR="00836F27">
        <w:t xml:space="preserve"> = </w:t>
      </w:r>
      <w:r w:rsidRPr="00836F27">
        <w:t>$3,000 × 1.10 = $3,300</w:t>
      </w:r>
    </w:p>
    <w:p w14:paraId="26BD15C6" w14:textId="10113C76" w:rsidR="0002426A" w:rsidRPr="00836F27" w:rsidRDefault="0002426A" w:rsidP="00C76F0E">
      <w:pPr>
        <w:numPr>
          <w:ilvl w:val="0"/>
          <w:numId w:val="2"/>
        </w:numPr>
        <w:spacing w:line="480" w:lineRule="auto"/>
      </w:pPr>
      <w:r w:rsidRPr="00836F27">
        <w:t>Revised Total Fixed Costs: Original</w:t>
      </w:r>
      <w:r w:rsidR="00836F27">
        <w:t xml:space="preserve"> = </w:t>
      </w:r>
      <w:r w:rsidRPr="00836F27">
        <w:t>$9,000 + 10% wage uptick = $9,300</w:t>
      </w:r>
    </w:p>
    <w:p w14:paraId="2AD4AEDE" w14:textId="77777777" w:rsidR="0002426A" w:rsidRDefault="0002426A" w:rsidP="0002426A">
      <w:pPr>
        <w:spacing w:line="480" w:lineRule="auto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5"/>
        <w:gridCol w:w="1603"/>
        <w:gridCol w:w="4252"/>
      </w:tblGrid>
      <w:tr w:rsidR="0002426A" w:rsidRPr="0002426A" w14:paraId="54A04A18" w14:textId="77777777" w:rsidTr="0002426A">
        <w:tc>
          <w:tcPr>
            <w:tcW w:w="1869" w:type="pct"/>
            <w:hideMark/>
          </w:tcPr>
          <w:p w14:paraId="417DB388" w14:textId="078628D4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Factors</w:t>
            </w:r>
          </w:p>
        </w:tc>
        <w:tc>
          <w:tcPr>
            <w:tcW w:w="857" w:type="pct"/>
            <w:hideMark/>
          </w:tcPr>
          <w:p w14:paraId="0E5D2E8B" w14:textId="77777777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Original</w:t>
            </w:r>
          </w:p>
        </w:tc>
        <w:tc>
          <w:tcPr>
            <w:tcW w:w="2275" w:type="pct"/>
            <w:hideMark/>
          </w:tcPr>
          <w:p w14:paraId="27CF3E93" w14:textId="77777777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After 10% Wage Increase</w:t>
            </w:r>
          </w:p>
        </w:tc>
      </w:tr>
      <w:tr w:rsidR="0002426A" w:rsidRPr="0002426A" w14:paraId="052B47C8" w14:textId="77777777" w:rsidTr="0002426A">
        <w:tc>
          <w:tcPr>
            <w:tcW w:w="1869" w:type="pct"/>
            <w:hideMark/>
          </w:tcPr>
          <w:p w14:paraId="24475981" w14:textId="77777777" w:rsidR="0002426A" w:rsidRPr="0002426A" w:rsidRDefault="0002426A" w:rsidP="0002426A">
            <w:pPr>
              <w:spacing w:line="480" w:lineRule="auto"/>
            </w:pPr>
            <w:r w:rsidRPr="0002426A">
              <w:t>Fixed Costs ($)</w:t>
            </w:r>
          </w:p>
        </w:tc>
        <w:tc>
          <w:tcPr>
            <w:tcW w:w="857" w:type="pct"/>
            <w:hideMark/>
          </w:tcPr>
          <w:p w14:paraId="60417B15" w14:textId="77777777" w:rsidR="0002426A" w:rsidRPr="0002426A" w:rsidRDefault="0002426A" w:rsidP="0002426A">
            <w:pPr>
              <w:spacing w:line="480" w:lineRule="auto"/>
            </w:pPr>
            <w:r w:rsidRPr="0002426A">
              <w:t>$9,000</w:t>
            </w:r>
          </w:p>
        </w:tc>
        <w:tc>
          <w:tcPr>
            <w:tcW w:w="2275" w:type="pct"/>
            <w:hideMark/>
          </w:tcPr>
          <w:p w14:paraId="4B1BD0EF" w14:textId="77777777" w:rsidR="0002426A" w:rsidRPr="0002426A" w:rsidRDefault="0002426A" w:rsidP="0002426A">
            <w:pPr>
              <w:spacing w:line="480" w:lineRule="auto"/>
            </w:pPr>
            <w:r w:rsidRPr="0002426A">
              <w:t>$9,300</w:t>
            </w:r>
          </w:p>
        </w:tc>
      </w:tr>
      <w:tr w:rsidR="0002426A" w:rsidRPr="0002426A" w14:paraId="5F6CD30F" w14:textId="77777777" w:rsidTr="0002426A">
        <w:tc>
          <w:tcPr>
            <w:tcW w:w="1869" w:type="pct"/>
            <w:hideMark/>
          </w:tcPr>
          <w:p w14:paraId="686D66CC" w14:textId="77777777" w:rsidR="0002426A" w:rsidRPr="0002426A" w:rsidRDefault="0002426A" w:rsidP="0002426A">
            <w:pPr>
              <w:spacing w:line="480" w:lineRule="auto"/>
            </w:pPr>
            <w:r w:rsidRPr="0002426A">
              <w:t>Break-Even Units</w:t>
            </w:r>
          </w:p>
        </w:tc>
        <w:tc>
          <w:tcPr>
            <w:tcW w:w="857" w:type="pct"/>
            <w:hideMark/>
          </w:tcPr>
          <w:p w14:paraId="480D8137" w14:textId="77777777" w:rsidR="0002426A" w:rsidRPr="0002426A" w:rsidRDefault="0002426A" w:rsidP="0002426A">
            <w:pPr>
              <w:spacing w:line="480" w:lineRule="auto"/>
            </w:pPr>
            <w:r w:rsidRPr="0002426A">
              <w:t>2,572</w:t>
            </w:r>
          </w:p>
        </w:tc>
        <w:tc>
          <w:tcPr>
            <w:tcW w:w="2275" w:type="pct"/>
            <w:hideMark/>
          </w:tcPr>
          <w:p w14:paraId="49230468" w14:textId="77777777" w:rsidR="0002426A" w:rsidRPr="0002426A" w:rsidRDefault="0002426A" w:rsidP="0002426A">
            <w:pPr>
              <w:spacing w:line="480" w:lineRule="auto"/>
            </w:pPr>
            <w:r w:rsidRPr="0002426A">
              <w:t>2,657</w:t>
            </w:r>
          </w:p>
        </w:tc>
      </w:tr>
      <w:tr w:rsidR="0002426A" w:rsidRPr="0002426A" w14:paraId="4A552FF5" w14:textId="77777777" w:rsidTr="0002426A">
        <w:tc>
          <w:tcPr>
            <w:tcW w:w="1869" w:type="pct"/>
            <w:hideMark/>
          </w:tcPr>
          <w:p w14:paraId="6CE9D903" w14:textId="77777777" w:rsidR="0002426A" w:rsidRPr="0002426A" w:rsidRDefault="0002426A" w:rsidP="0002426A">
            <w:pPr>
              <w:spacing w:line="480" w:lineRule="auto"/>
            </w:pPr>
            <w:r w:rsidRPr="0002426A">
              <w:t>Break-Even Sales ($)</w:t>
            </w:r>
          </w:p>
        </w:tc>
        <w:tc>
          <w:tcPr>
            <w:tcW w:w="857" w:type="pct"/>
            <w:hideMark/>
          </w:tcPr>
          <w:p w14:paraId="62373DE0" w14:textId="77777777" w:rsidR="0002426A" w:rsidRPr="0002426A" w:rsidRDefault="0002426A" w:rsidP="0002426A">
            <w:pPr>
              <w:spacing w:line="480" w:lineRule="auto"/>
            </w:pPr>
            <w:r w:rsidRPr="0002426A">
              <w:t>$15,432</w:t>
            </w:r>
          </w:p>
        </w:tc>
        <w:tc>
          <w:tcPr>
            <w:tcW w:w="2275" w:type="pct"/>
            <w:hideMark/>
          </w:tcPr>
          <w:p w14:paraId="7C4DA8E4" w14:textId="77777777" w:rsidR="0002426A" w:rsidRPr="0002426A" w:rsidRDefault="0002426A" w:rsidP="0002426A">
            <w:pPr>
              <w:spacing w:line="480" w:lineRule="auto"/>
            </w:pPr>
            <w:r w:rsidRPr="0002426A">
              <w:t>$15,942</w:t>
            </w:r>
          </w:p>
        </w:tc>
      </w:tr>
    </w:tbl>
    <w:p w14:paraId="0EF43AE4" w14:textId="77777777" w:rsidR="0002426A" w:rsidRDefault="0002426A" w:rsidP="0002426A">
      <w:pPr>
        <w:spacing w:line="480" w:lineRule="auto"/>
        <w:rPr>
          <w:b/>
          <w:bCs/>
        </w:rPr>
      </w:pPr>
    </w:p>
    <w:p w14:paraId="67B30277" w14:textId="7792F16F" w:rsidR="00836F27" w:rsidRDefault="0002426A" w:rsidP="002717C3">
      <w:pPr>
        <w:spacing w:line="480" w:lineRule="auto"/>
        <w:ind w:firstLine="720"/>
        <w:jc w:val="both"/>
      </w:pPr>
      <w:r w:rsidRPr="0002426A">
        <w:t>A</w:t>
      </w:r>
      <w:r w:rsidR="00836F27">
        <w:t>s per the</w:t>
      </w:r>
      <w:r w:rsidRPr="0002426A">
        <w:t xml:space="preserve"> 10% increase in wage-related fixed costs boosts the shop’s total monthly expenses from $9,000 to $9,300. </w:t>
      </w:r>
      <w:r w:rsidR="00836F27">
        <w:t>It tends to be g</w:t>
      </w:r>
      <w:r w:rsidRPr="0002426A">
        <w:t xml:space="preserve">iven a constant contribution margin of $3.50 per unit, the break-even point now rises slightly to 2,657 units, up from the original 2,572 units—an increase of 85 units. In </w:t>
      </w:r>
      <w:r w:rsidR="00836F27">
        <w:t xml:space="preserve">accordance with the </w:t>
      </w:r>
      <w:r w:rsidRPr="0002426A">
        <w:t>dollar terms, the shop needs to generate $15,942 in sales to break even, compared to the earlier $15,432</w:t>
      </w:r>
      <w:r w:rsidR="00836F27">
        <w:t xml:space="preserve"> and t</w:t>
      </w:r>
      <w:r w:rsidRPr="0002426A">
        <w:t>his shift places added pressure on sales performance, requiring either higher volume or margin improvements to sustain profitability</w:t>
      </w:r>
      <w:r w:rsidR="00765751">
        <w:t xml:space="preserve"> </w:t>
      </w:r>
      <w:r w:rsidR="00765751" w:rsidRPr="00765751">
        <w:t>(Silva, França &amp; Neto, 2024)</w:t>
      </w:r>
      <w:r w:rsidRPr="0002426A">
        <w:t>.</w:t>
      </w:r>
    </w:p>
    <w:p w14:paraId="7B06DD54" w14:textId="44F225E0" w:rsidR="0002426A" w:rsidRPr="0002426A" w:rsidRDefault="00836F27" w:rsidP="002717C3">
      <w:pPr>
        <w:spacing w:line="480" w:lineRule="auto"/>
        <w:ind w:firstLine="720"/>
        <w:jc w:val="both"/>
      </w:pPr>
      <w:r>
        <w:lastRenderedPageBreak/>
        <w:t xml:space="preserve">However, one of the major </w:t>
      </w:r>
      <w:r w:rsidR="00765751">
        <w:t>impacts</w:t>
      </w:r>
      <w:r>
        <w:t xml:space="preserve"> is that the </w:t>
      </w:r>
      <w:r w:rsidR="0002426A" w:rsidRPr="0002426A">
        <w:t xml:space="preserve">U.S. small business sector experienced a steady weekly wage growth of </w:t>
      </w:r>
      <w:r w:rsidR="0002426A" w:rsidRPr="0002426A">
        <w:rPr>
          <w:b/>
          <w:bCs/>
        </w:rPr>
        <w:t>2.74%</w:t>
      </w:r>
      <w:r w:rsidR="0002426A" w:rsidRPr="0002426A">
        <w:t xml:space="preserve"> as of July 2025, remaining below 3% for over a year, suggesting moderate downward pressure on labor costs</w:t>
      </w:r>
      <w:r w:rsidR="00F8638A">
        <w:t xml:space="preserve"> </w:t>
      </w:r>
      <w:r w:rsidR="00F8638A" w:rsidRPr="00F8638A">
        <w:t>(</w:t>
      </w:r>
      <w:proofErr w:type="spellStart"/>
      <w:r w:rsidR="00F8638A" w:rsidRPr="00F8638A">
        <w:t>Pekkari</w:t>
      </w:r>
      <w:proofErr w:type="spellEnd"/>
      <w:r w:rsidR="00F8638A" w:rsidRPr="00F8638A">
        <w:t xml:space="preserve"> et al., 2024)</w:t>
      </w:r>
      <w:r w:rsidR="0002426A" w:rsidRPr="0002426A">
        <w:t>.</w:t>
      </w:r>
      <w:r>
        <w:t xml:space="preserve"> It also includes the </w:t>
      </w:r>
      <w:r w:rsidR="0002426A" w:rsidRPr="0002426A">
        <w:t xml:space="preserve">Employment Cost </w:t>
      </w:r>
      <w:r w:rsidR="00765751" w:rsidRPr="0002426A">
        <w:t>Index,</w:t>
      </w:r>
      <w:r>
        <w:t xml:space="preserve"> which </w:t>
      </w:r>
      <w:r w:rsidR="0002426A" w:rsidRPr="0002426A">
        <w:t xml:space="preserve">reports private industry wages rose </w:t>
      </w:r>
      <w:r w:rsidR="0002426A" w:rsidRPr="0002426A">
        <w:rPr>
          <w:b/>
          <w:bCs/>
        </w:rPr>
        <w:t>3.5%</w:t>
      </w:r>
      <w:r w:rsidR="0002426A" w:rsidRPr="0002426A">
        <w:t xml:space="preserve"> over the past </w:t>
      </w:r>
      <w:r w:rsidR="00765751" w:rsidRPr="0002426A">
        <w:t xml:space="preserve">year, </w:t>
      </w:r>
      <w:r w:rsidR="0002426A" w:rsidRPr="0002426A">
        <w:t xml:space="preserve">indicating </w:t>
      </w:r>
      <w:r w:rsidR="00F8638A" w:rsidRPr="0002426A">
        <w:t>sustainable</w:t>
      </w:r>
      <w:r w:rsidR="0002426A" w:rsidRPr="0002426A">
        <w:t xml:space="preserve"> wage inflation while benefits rose </w:t>
      </w:r>
      <w:r w:rsidR="0002426A" w:rsidRPr="0002426A">
        <w:rPr>
          <w:b/>
          <w:bCs/>
        </w:rPr>
        <w:t>3.4%</w:t>
      </w:r>
      <w:r w:rsidR="00765751">
        <w:rPr>
          <w:b/>
          <w:bCs/>
        </w:rPr>
        <w:t xml:space="preserve"> </w:t>
      </w:r>
      <w:r w:rsidR="00765751" w:rsidRPr="00765751">
        <w:rPr>
          <w:b/>
          <w:bCs/>
        </w:rPr>
        <w:t>(Husemann, Kirste &amp; Stumpf, 2024)</w:t>
      </w:r>
      <w:r>
        <w:t xml:space="preserve">. However, on the other hand, regarding </w:t>
      </w:r>
      <w:r w:rsidR="00765751">
        <w:t>Australia</w:t>
      </w:r>
      <w:r w:rsidR="0002426A" w:rsidRPr="0002426A">
        <w:t xml:space="preserve">, a </w:t>
      </w:r>
      <w:r w:rsidR="0002426A" w:rsidRPr="0002426A">
        <w:rPr>
          <w:b/>
          <w:bCs/>
        </w:rPr>
        <w:t>3.5% minimum wage increase</w:t>
      </w:r>
      <w:r w:rsidR="0002426A" w:rsidRPr="0002426A">
        <w:t xml:space="preserve"> to </w:t>
      </w:r>
      <w:r w:rsidR="0002426A" w:rsidRPr="0002426A">
        <w:rPr>
          <w:b/>
          <w:bCs/>
        </w:rPr>
        <w:t>AUD $24.95/</w:t>
      </w:r>
      <w:proofErr w:type="spellStart"/>
      <w:r w:rsidR="0002426A" w:rsidRPr="0002426A">
        <w:rPr>
          <w:b/>
          <w:bCs/>
        </w:rPr>
        <w:t>hr</w:t>
      </w:r>
      <w:proofErr w:type="spellEnd"/>
      <w:r w:rsidR="0002426A" w:rsidRPr="0002426A">
        <w:t xml:space="preserve"> hit the hospitality sector hard, prompting menu price hikes and shrinking margins due to rising labor and overhead costs</w:t>
      </w:r>
      <w:r w:rsidR="00F8638A">
        <w:t xml:space="preserve"> </w:t>
      </w:r>
      <w:r w:rsidR="00F8638A" w:rsidRPr="00F8638A">
        <w:t>(</w:t>
      </w:r>
      <w:proofErr w:type="spellStart"/>
      <w:r w:rsidR="00F8638A" w:rsidRPr="00F8638A">
        <w:t>Pekkari</w:t>
      </w:r>
      <w:proofErr w:type="spellEnd"/>
      <w:r w:rsidR="00F8638A" w:rsidRPr="00F8638A">
        <w:t xml:space="preserve"> et al., 2024)</w:t>
      </w:r>
      <w:r w:rsidR="0002426A" w:rsidRPr="0002426A">
        <w:t>.</w:t>
      </w:r>
      <w:r>
        <w:t xml:space="preserve"> As per the C</w:t>
      </w:r>
      <w:r w:rsidR="0002426A" w:rsidRPr="0002426A">
        <w:t>alifornia’s fast-food sector warns that further increases—up to $20/</w:t>
      </w:r>
      <w:proofErr w:type="spellStart"/>
      <w:r w:rsidR="0002426A" w:rsidRPr="0002426A">
        <w:t>hr</w:t>
      </w:r>
      <w:proofErr w:type="spellEnd"/>
      <w:r w:rsidR="0002426A" w:rsidRPr="0002426A">
        <w:t>—could “cripple” operations: businesses are responding by raising prices (98%), reducing hours (89%), and 74% face heightened closure risks</w:t>
      </w:r>
      <w:r w:rsidR="00F8638A">
        <w:t xml:space="preserve"> </w:t>
      </w:r>
      <w:r w:rsidR="00F8638A" w:rsidRPr="00F8638A">
        <w:t>(</w:t>
      </w:r>
      <w:proofErr w:type="spellStart"/>
      <w:r w:rsidR="00F8638A" w:rsidRPr="00F8638A">
        <w:t>Pekkari</w:t>
      </w:r>
      <w:proofErr w:type="spellEnd"/>
      <w:r w:rsidR="00F8638A" w:rsidRPr="00F8638A">
        <w:t xml:space="preserve"> et al., 2024)</w:t>
      </w:r>
      <w:r w:rsidR="0002426A" w:rsidRPr="0002426A">
        <w:t xml:space="preserve">. </w:t>
      </w:r>
    </w:p>
    <w:p w14:paraId="4AE2B254" w14:textId="77777777" w:rsidR="00543F8F" w:rsidRDefault="00543F8F" w:rsidP="00543F8F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Query 5 – Variable Cost Increase</w:t>
      </w:r>
    </w:p>
    <w:p w14:paraId="59777E8A" w14:textId="6AF844A9" w:rsidR="0002426A" w:rsidRPr="0002426A" w:rsidRDefault="0002426A" w:rsidP="0002426A">
      <w:pPr>
        <w:spacing w:line="480" w:lineRule="auto"/>
        <w:ind w:left="360"/>
      </w:pPr>
      <w:r w:rsidRPr="0002426A">
        <w:t>Original Variable Cost per Unit</w:t>
      </w:r>
      <w:r w:rsidR="00836F27">
        <w:t xml:space="preserve"> = </w:t>
      </w:r>
      <w:r w:rsidRPr="0002426A">
        <w:t>$2.50</w:t>
      </w:r>
    </w:p>
    <w:p w14:paraId="583E5D42" w14:textId="69B0C847" w:rsidR="0002426A" w:rsidRPr="0002426A" w:rsidRDefault="0002426A" w:rsidP="0002426A">
      <w:pPr>
        <w:spacing w:line="480" w:lineRule="auto"/>
        <w:ind w:left="360"/>
      </w:pPr>
      <w:r w:rsidRPr="0002426A">
        <w:t>25% Increase in Most Expensive Variable Cost Component:</w:t>
      </w:r>
    </w:p>
    <w:p w14:paraId="6B8C80BE" w14:textId="5B0F0743" w:rsidR="0002426A" w:rsidRPr="0002426A" w:rsidRDefault="0002426A" w:rsidP="0002426A">
      <w:pPr>
        <w:spacing w:line="480" w:lineRule="auto"/>
        <w:ind w:left="360"/>
      </w:pPr>
      <w:r w:rsidRPr="0002426A">
        <w:t>New Variable Cost per Unit</w:t>
      </w:r>
      <w:r w:rsidR="00836F27">
        <w:t xml:space="preserve"> = </w:t>
      </w:r>
      <w:r w:rsidRPr="0002426A">
        <w:t>$2.50 × 1.25 = $3.125</w:t>
      </w:r>
    </w:p>
    <w:p w14:paraId="0833FC14" w14:textId="4FEA9C9F" w:rsidR="0002426A" w:rsidRPr="0002426A" w:rsidRDefault="0002426A" w:rsidP="0002426A">
      <w:pPr>
        <w:spacing w:line="480" w:lineRule="auto"/>
        <w:ind w:left="360"/>
      </w:pPr>
      <w:r w:rsidRPr="0002426A">
        <w:t>Selling Price per Unit: $6.00 (unchanged)</w:t>
      </w:r>
    </w:p>
    <w:p w14:paraId="4D5A32E7" w14:textId="34DCE7FF" w:rsidR="0002426A" w:rsidRPr="0002426A" w:rsidRDefault="0002426A" w:rsidP="0002426A">
      <w:pPr>
        <w:spacing w:line="480" w:lineRule="auto"/>
        <w:ind w:left="360"/>
      </w:pPr>
      <w:r w:rsidRPr="0002426A">
        <w:t>Contribution Margin (CM) per Unit (New)</w:t>
      </w:r>
      <w:r w:rsidR="00836F27">
        <w:t xml:space="preserve"> = </w:t>
      </w:r>
      <w:r w:rsidRPr="0002426A">
        <w:t>$6.00 – $3.125 = $2.875</w:t>
      </w:r>
    </w:p>
    <w:p w14:paraId="185FA522" w14:textId="1DE44F48" w:rsidR="0002426A" w:rsidRPr="0002426A" w:rsidRDefault="0002426A" w:rsidP="0002426A">
      <w:pPr>
        <w:spacing w:line="480" w:lineRule="auto"/>
        <w:ind w:left="360"/>
      </w:pPr>
      <w:r w:rsidRPr="0002426A">
        <w:t>Fixed Costs (Original)</w:t>
      </w:r>
      <w:r w:rsidR="00836F27">
        <w:t xml:space="preserve"> = </w:t>
      </w:r>
      <w:r w:rsidRPr="0002426A">
        <w:t>$9,000</w:t>
      </w:r>
    </w:p>
    <w:p w14:paraId="284EBB55" w14:textId="49FDC702" w:rsidR="0002426A" w:rsidRPr="0002426A" w:rsidRDefault="0002426A" w:rsidP="0002426A">
      <w:pPr>
        <w:spacing w:line="480" w:lineRule="auto"/>
        <w:ind w:left="360"/>
      </w:pPr>
      <w:r w:rsidRPr="0002426A">
        <w:t>Break-Even Units (New)</w:t>
      </w:r>
      <w:r w:rsidR="00836F27">
        <w:t xml:space="preserve"> = </w:t>
      </w:r>
      <w:r w:rsidRPr="0002426A">
        <w:t xml:space="preserve">$9,000 ÷ $2.875 </w:t>
      </w:r>
      <w:r w:rsidR="00836F27">
        <w:t>=</w:t>
      </w:r>
      <w:r w:rsidRPr="0002426A">
        <w:t xml:space="preserve"> 3,130 units</w:t>
      </w:r>
    </w:p>
    <w:p w14:paraId="6F756545" w14:textId="7E60A6D2" w:rsidR="0002426A" w:rsidRPr="0002426A" w:rsidRDefault="0002426A" w:rsidP="0002426A">
      <w:pPr>
        <w:spacing w:line="480" w:lineRule="auto"/>
        <w:ind w:left="360"/>
      </w:pPr>
      <w:r w:rsidRPr="0002426A">
        <w:t>Break-Even Sales (New): 3,130 × $6.00 ≈ $18,780</w:t>
      </w:r>
    </w:p>
    <w:p w14:paraId="21C30999" w14:textId="7A56E078" w:rsidR="0002426A" w:rsidRDefault="0002426A" w:rsidP="0002426A">
      <w:pPr>
        <w:spacing w:line="480" w:lineRule="auto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4"/>
        <w:gridCol w:w="1416"/>
        <w:gridCol w:w="3600"/>
      </w:tblGrid>
      <w:tr w:rsidR="0002426A" w:rsidRPr="0002426A" w14:paraId="01DF4E19" w14:textId="77777777" w:rsidTr="0002426A">
        <w:tc>
          <w:tcPr>
            <w:tcW w:w="2318" w:type="pct"/>
            <w:hideMark/>
          </w:tcPr>
          <w:p w14:paraId="2AA91E0A" w14:textId="49DF1EDF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Factors</w:t>
            </w:r>
          </w:p>
        </w:tc>
        <w:tc>
          <w:tcPr>
            <w:tcW w:w="757" w:type="pct"/>
            <w:hideMark/>
          </w:tcPr>
          <w:p w14:paraId="34F21E6E" w14:textId="77777777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Original</w:t>
            </w:r>
          </w:p>
        </w:tc>
        <w:tc>
          <w:tcPr>
            <w:tcW w:w="1926" w:type="pct"/>
            <w:hideMark/>
          </w:tcPr>
          <w:p w14:paraId="47862FA9" w14:textId="77777777" w:rsidR="0002426A" w:rsidRPr="00836F27" w:rsidRDefault="0002426A" w:rsidP="0002426A">
            <w:pPr>
              <w:spacing w:line="480" w:lineRule="auto"/>
              <w:rPr>
                <w:b/>
                <w:bCs/>
              </w:rPr>
            </w:pPr>
            <w:r w:rsidRPr="00836F27">
              <w:rPr>
                <w:b/>
                <w:bCs/>
              </w:rPr>
              <w:t>After 25% Cost Increase</w:t>
            </w:r>
          </w:p>
        </w:tc>
      </w:tr>
      <w:tr w:rsidR="0002426A" w:rsidRPr="0002426A" w14:paraId="0DA0DF1E" w14:textId="77777777" w:rsidTr="0002426A">
        <w:tc>
          <w:tcPr>
            <w:tcW w:w="2318" w:type="pct"/>
            <w:hideMark/>
          </w:tcPr>
          <w:p w14:paraId="6EC3D78A" w14:textId="77777777" w:rsidR="0002426A" w:rsidRPr="0002426A" w:rsidRDefault="0002426A" w:rsidP="0002426A">
            <w:pPr>
              <w:spacing w:line="480" w:lineRule="auto"/>
            </w:pPr>
            <w:r w:rsidRPr="0002426A">
              <w:t>Variable Cost per Unit</w:t>
            </w:r>
          </w:p>
        </w:tc>
        <w:tc>
          <w:tcPr>
            <w:tcW w:w="757" w:type="pct"/>
            <w:hideMark/>
          </w:tcPr>
          <w:p w14:paraId="6A30CDC2" w14:textId="77777777" w:rsidR="0002426A" w:rsidRPr="0002426A" w:rsidRDefault="0002426A" w:rsidP="0002426A">
            <w:pPr>
              <w:spacing w:line="480" w:lineRule="auto"/>
            </w:pPr>
            <w:r w:rsidRPr="0002426A">
              <w:t>$2.50</w:t>
            </w:r>
          </w:p>
        </w:tc>
        <w:tc>
          <w:tcPr>
            <w:tcW w:w="1926" w:type="pct"/>
            <w:hideMark/>
          </w:tcPr>
          <w:p w14:paraId="6D52695C" w14:textId="77777777" w:rsidR="0002426A" w:rsidRPr="0002426A" w:rsidRDefault="0002426A" w:rsidP="0002426A">
            <w:pPr>
              <w:spacing w:line="480" w:lineRule="auto"/>
            </w:pPr>
            <w:r w:rsidRPr="0002426A">
              <w:t>$3.125</w:t>
            </w:r>
          </w:p>
        </w:tc>
      </w:tr>
      <w:tr w:rsidR="0002426A" w:rsidRPr="0002426A" w14:paraId="48B119AF" w14:textId="77777777" w:rsidTr="0002426A">
        <w:tc>
          <w:tcPr>
            <w:tcW w:w="2318" w:type="pct"/>
            <w:hideMark/>
          </w:tcPr>
          <w:p w14:paraId="6F9C3C91" w14:textId="77777777" w:rsidR="0002426A" w:rsidRPr="0002426A" w:rsidRDefault="0002426A" w:rsidP="0002426A">
            <w:pPr>
              <w:spacing w:line="480" w:lineRule="auto"/>
            </w:pPr>
            <w:r w:rsidRPr="0002426A">
              <w:lastRenderedPageBreak/>
              <w:t>Contribution Margin per Unit</w:t>
            </w:r>
          </w:p>
        </w:tc>
        <w:tc>
          <w:tcPr>
            <w:tcW w:w="757" w:type="pct"/>
            <w:hideMark/>
          </w:tcPr>
          <w:p w14:paraId="57CC6921" w14:textId="77777777" w:rsidR="0002426A" w:rsidRPr="0002426A" w:rsidRDefault="0002426A" w:rsidP="0002426A">
            <w:pPr>
              <w:spacing w:line="480" w:lineRule="auto"/>
            </w:pPr>
            <w:r w:rsidRPr="0002426A">
              <w:t>$3.50</w:t>
            </w:r>
          </w:p>
        </w:tc>
        <w:tc>
          <w:tcPr>
            <w:tcW w:w="1926" w:type="pct"/>
            <w:hideMark/>
          </w:tcPr>
          <w:p w14:paraId="57EA0AE7" w14:textId="77777777" w:rsidR="0002426A" w:rsidRPr="0002426A" w:rsidRDefault="0002426A" w:rsidP="0002426A">
            <w:pPr>
              <w:spacing w:line="480" w:lineRule="auto"/>
            </w:pPr>
            <w:r w:rsidRPr="0002426A">
              <w:t>$2.875</w:t>
            </w:r>
          </w:p>
        </w:tc>
      </w:tr>
      <w:tr w:rsidR="0002426A" w:rsidRPr="0002426A" w14:paraId="7CE68CB5" w14:textId="77777777" w:rsidTr="0002426A">
        <w:tc>
          <w:tcPr>
            <w:tcW w:w="2318" w:type="pct"/>
            <w:hideMark/>
          </w:tcPr>
          <w:p w14:paraId="4D331947" w14:textId="77777777" w:rsidR="0002426A" w:rsidRPr="0002426A" w:rsidRDefault="0002426A" w:rsidP="0002426A">
            <w:pPr>
              <w:spacing w:line="480" w:lineRule="auto"/>
            </w:pPr>
            <w:r w:rsidRPr="0002426A">
              <w:t>Break-Even Units</w:t>
            </w:r>
          </w:p>
        </w:tc>
        <w:tc>
          <w:tcPr>
            <w:tcW w:w="757" w:type="pct"/>
            <w:hideMark/>
          </w:tcPr>
          <w:p w14:paraId="3C5D964E" w14:textId="77777777" w:rsidR="0002426A" w:rsidRPr="0002426A" w:rsidRDefault="0002426A" w:rsidP="0002426A">
            <w:pPr>
              <w:spacing w:line="480" w:lineRule="auto"/>
            </w:pPr>
            <w:r w:rsidRPr="0002426A">
              <w:t>2,572</w:t>
            </w:r>
          </w:p>
        </w:tc>
        <w:tc>
          <w:tcPr>
            <w:tcW w:w="1926" w:type="pct"/>
            <w:hideMark/>
          </w:tcPr>
          <w:p w14:paraId="6D5BFC2F" w14:textId="77777777" w:rsidR="0002426A" w:rsidRPr="0002426A" w:rsidRDefault="0002426A" w:rsidP="0002426A">
            <w:pPr>
              <w:spacing w:line="480" w:lineRule="auto"/>
            </w:pPr>
            <w:r w:rsidRPr="0002426A">
              <w:t>3,130</w:t>
            </w:r>
          </w:p>
        </w:tc>
      </w:tr>
      <w:tr w:rsidR="0002426A" w:rsidRPr="0002426A" w14:paraId="621BCBEE" w14:textId="77777777" w:rsidTr="0002426A">
        <w:tc>
          <w:tcPr>
            <w:tcW w:w="2318" w:type="pct"/>
            <w:hideMark/>
          </w:tcPr>
          <w:p w14:paraId="33B102DA" w14:textId="77777777" w:rsidR="0002426A" w:rsidRPr="0002426A" w:rsidRDefault="0002426A" w:rsidP="0002426A">
            <w:pPr>
              <w:spacing w:line="480" w:lineRule="auto"/>
            </w:pPr>
            <w:r w:rsidRPr="0002426A">
              <w:t>Break-Even Sales ($)</w:t>
            </w:r>
          </w:p>
        </w:tc>
        <w:tc>
          <w:tcPr>
            <w:tcW w:w="757" w:type="pct"/>
            <w:hideMark/>
          </w:tcPr>
          <w:p w14:paraId="28C72BDB" w14:textId="77777777" w:rsidR="0002426A" w:rsidRPr="0002426A" w:rsidRDefault="0002426A" w:rsidP="0002426A">
            <w:pPr>
              <w:spacing w:line="480" w:lineRule="auto"/>
            </w:pPr>
            <w:r w:rsidRPr="0002426A">
              <w:t>$15,432</w:t>
            </w:r>
          </w:p>
        </w:tc>
        <w:tc>
          <w:tcPr>
            <w:tcW w:w="1926" w:type="pct"/>
            <w:hideMark/>
          </w:tcPr>
          <w:p w14:paraId="7BEA2F0C" w14:textId="77777777" w:rsidR="0002426A" w:rsidRPr="0002426A" w:rsidRDefault="0002426A" w:rsidP="0002426A">
            <w:pPr>
              <w:spacing w:line="480" w:lineRule="auto"/>
            </w:pPr>
            <w:r w:rsidRPr="0002426A">
              <w:t>$18,780</w:t>
            </w:r>
          </w:p>
        </w:tc>
      </w:tr>
    </w:tbl>
    <w:p w14:paraId="7E312ED4" w14:textId="77777777" w:rsidR="0002426A" w:rsidRDefault="0002426A" w:rsidP="0002426A">
      <w:pPr>
        <w:spacing w:line="480" w:lineRule="auto"/>
        <w:rPr>
          <w:b/>
          <w:bCs/>
        </w:rPr>
      </w:pPr>
    </w:p>
    <w:p w14:paraId="24516EDE" w14:textId="12D91B9A" w:rsidR="0002426A" w:rsidRPr="00836F27" w:rsidRDefault="0002426A" w:rsidP="002717C3">
      <w:pPr>
        <w:spacing w:line="480" w:lineRule="auto"/>
        <w:ind w:firstLine="720"/>
        <w:jc w:val="both"/>
      </w:pPr>
      <w:r w:rsidRPr="0002426A">
        <w:t>A</w:t>
      </w:r>
      <w:r w:rsidR="00836F27">
        <w:t>s per the</w:t>
      </w:r>
      <w:r w:rsidRPr="0002426A">
        <w:t xml:space="preserve"> 25% increase in a key variable cost (e.g., premium ingredients) raises the per-unit cost to $3.125, shrinking the contribution margin to $2.875. </w:t>
      </w:r>
      <w:r w:rsidR="00836F27">
        <w:t xml:space="preserve">Based on </w:t>
      </w:r>
      <w:r w:rsidR="00F8638A">
        <w:t xml:space="preserve">the </w:t>
      </w:r>
      <w:r w:rsidR="00F8638A" w:rsidRPr="0002426A">
        <w:t>monthly</w:t>
      </w:r>
      <w:r w:rsidRPr="0002426A">
        <w:t xml:space="preserve"> break-even volume jumps from 2,572 units to 3,130 </w:t>
      </w:r>
      <w:r w:rsidR="00F8638A" w:rsidRPr="0002426A">
        <w:t>units and</w:t>
      </w:r>
      <w:r w:rsidRPr="0002426A">
        <w:t xml:space="preserve"> required sales revenue increases from $15,432 to $18,780</w:t>
      </w:r>
      <w:r w:rsidR="00836F27">
        <w:t xml:space="preserve"> and t</w:t>
      </w:r>
      <w:r w:rsidRPr="0002426A">
        <w:t>his heavier threshold intensifies financial strain, especially during demand fluctuations, and may squeeze profit margins unless offset by strategic countermeasures</w:t>
      </w:r>
      <w:r w:rsidR="00765751">
        <w:t xml:space="preserve"> </w:t>
      </w:r>
      <w:r w:rsidR="00765751" w:rsidRPr="00765751">
        <w:t>(Husemann, Kirste &amp; Stumpf, 2024)</w:t>
      </w:r>
      <w:r w:rsidRPr="0002426A">
        <w:t>.</w:t>
      </w:r>
      <w:r w:rsidR="00836F27">
        <w:t xml:space="preserve"> However, another major factor includes the c</w:t>
      </w:r>
      <w:r w:rsidRPr="0002426A">
        <w:rPr>
          <w:b/>
          <w:bCs/>
        </w:rPr>
        <w:t>offee commodity prices</w:t>
      </w:r>
      <w:r w:rsidRPr="0002426A">
        <w:t xml:space="preserve"> have surged dramatically, reaching </w:t>
      </w:r>
      <w:r w:rsidRPr="0002426A">
        <w:rPr>
          <w:b/>
          <w:bCs/>
        </w:rPr>
        <w:t>$4.40 per pound</w:t>
      </w:r>
      <w:r w:rsidRPr="0002426A">
        <w:t xml:space="preserve"> in early 2025—up from under $1—driven by climate disruptions, flawed crop yields, and global supply chain volatility.</w:t>
      </w:r>
      <w:r w:rsidR="00836F27">
        <w:t xml:space="preserve"> It also includes the t</w:t>
      </w:r>
      <w:r w:rsidRPr="0002426A">
        <w:rPr>
          <w:b/>
          <w:bCs/>
        </w:rPr>
        <w:t>ariffs</w:t>
      </w:r>
      <w:r w:rsidR="00836F27">
        <w:rPr>
          <w:b/>
          <w:bCs/>
        </w:rPr>
        <w:t xml:space="preserve"> which are</w:t>
      </w:r>
      <w:r w:rsidRPr="0002426A">
        <w:t xml:space="preserve"> on imported </w:t>
      </w:r>
      <w:r w:rsidR="00765751" w:rsidRPr="0002426A">
        <w:t>goods that</w:t>
      </w:r>
      <w:r w:rsidRPr="0002426A">
        <w:t xml:space="preserve"> have led to supplier cost hikes of up to </w:t>
      </w:r>
      <w:r w:rsidRPr="0002426A">
        <w:rPr>
          <w:b/>
          <w:bCs/>
        </w:rPr>
        <w:t>30%</w:t>
      </w:r>
      <w:r w:rsidRPr="0002426A">
        <w:t>, forcing many small businesses to raise retail prices or absorb margin losses</w:t>
      </w:r>
      <w:r w:rsidR="00F8638A">
        <w:t xml:space="preserve"> </w:t>
      </w:r>
      <w:r w:rsidR="00F8638A" w:rsidRPr="00F8638A">
        <w:t>(</w:t>
      </w:r>
      <w:proofErr w:type="spellStart"/>
      <w:r w:rsidR="00F8638A" w:rsidRPr="00F8638A">
        <w:t>Pekkari</w:t>
      </w:r>
      <w:proofErr w:type="spellEnd"/>
      <w:r w:rsidR="00F8638A" w:rsidRPr="00F8638A">
        <w:t xml:space="preserve"> et al., 2024)</w:t>
      </w:r>
      <w:r w:rsidRPr="0002426A">
        <w:t>.</w:t>
      </w:r>
      <w:r w:rsidR="00836F27">
        <w:t xml:space="preserve"> According to the s</w:t>
      </w:r>
      <w:r w:rsidRPr="0002426A">
        <w:t xml:space="preserve">mall retail and hospitality businesses face </w:t>
      </w:r>
      <w:r w:rsidRPr="0002426A">
        <w:rPr>
          <w:b/>
          <w:bCs/>
        </w:rPr>
        <w:t>profit margin compression</w:t>
      </w:r>
      <w:r w:rsidRPr="0002426A">
        <w:t xml:space="preserve"> as rising variable costs eat into already slim margins</w:t>
      </w:r>
      <w:r w:rsidR="00F8638A">
        <w:t xml:space="preserve"> </w:t>
      </w:r>
      <w:r w:rsidR="00F8638A" w:rsidRPr="00F8638A">
        <w:t>(</w:t>
      </w:r>
      <w:proofErr w:type="spellStart"/>
      <w:r w:rsidR="00F8638A" w:rsidRPr="00F8638A">
        <w:t>Pekkari</w:t>
      </w:r>
      <w:proofErr w:type="spellEnd"/>
      <w:r w:rsidR="00F8638A" w:rsidRPr="00F8638A">
        <w:t xml:space="preserve"> et al., 2024)</w:t>
      </w:r>
      <w:r w:rsidRPr="0002426A">
        <w:t>.</w:t>
      </w:r>
    </w:p>
    <w:p w14:paraId="7F79F8D8" w14:textId="7A4FC14F" w:rsidR="000455F6" w:rsidRDefault="000455F6" w:rsidP="00964FF8">
      <w:pPr>
        <w:spacing w:line="480" w:lineRule="auto"/>
        <w:jc w:val="center"/>
        <w:rPr>
          <w:b/>
          <w:color w:val="000000"/>
        </w:rPr>
      </w:pPr>
      <w:r w:rsidRPr="007E1727">
        <w:rPr>
          <w:b/>
          <w:color w:val="000000"/>
        </w:rPr>
        <w:t>Conclusion</w:t>
      </w:r>
    </w:p>
    <w:p w14:paraId="0D952C73" w14:textId="27D74B21" w:rsidR="0002426A" w:rsidRPr="0002426A" w:rsidRDefault="0002426A" w:rsidP="002717C3">
      <w:pPr>
        <w:spacing w:line="480" w:lineRule="auto"/>
        <w:jc w:val="both"/>
        <w:rPr>
          <w:bCs/>
          <w:color w:val="000000"/>
        </w:rPr>
      </w:pPr>
      <w:r w:rsidRPr="0002426A">
        <w:rPr>
          <w:bCs/>
          <w:color w:val="000000"/>
        </w:rPr>
        <w:tab/>
      </w:r>
      <w:r w:rsidR="00836F27">
        <w:rPr>
          <w:bCs/>
          <w:color w:val="000000"/>
        </w:rPr>
        <w:t xml:space="preserve">According to the above analysis, which conclude that </w:t>
      </w:r>
      <w:r w:rsidRPr="0002426A">
        <w:rPr>
          <w:bCs/>
          <w:color w:val="000000"/>
        </w:rPr>
        <w:t xml:space="preserve">this cost analysis highlights the critical influence of fixed costs, variable costs, and contribution margins on a small business’s financial health. </w:t>
      </w:r>
      <w:r w:rsidR="00836F27">
        <w:rPr>
          <w:bCs/>
          <w:color w:val="000000"/>
        </w:rPr>
        <w:t>It also tends to analyse that B</w:t>
      </w:r>
      <w:r w:rsidRPr="0002426A">
        <w:rPr>
          <w:bCs/>
          <w:color w:val="000000"/>
        </w:rPr>
        <w:t>reak-even analysis provides a clear benchmark for the sales volume and revenue required to cover all expenses, enabling proactive adjustments in pricing, cost management, and operational strategy</w:t>
      </w:r>
      <w:r w:rsidR="00836F27">
        <w:rPr>
          <w:bCs/>
          <w:color w:val="000000"/>
        </w:rPr>
        <w:t xml:space="preserve"> such as b</w:t>
      </w:r>
      <w:r w:rsidRPr="0002426A">
        <w:rPr>
          <w:bCs/>
          <w:color w:val="000000"/>
        </w:rPr>
        <w:t xml:space="preserve">y monitoring these metrics and </w:t>
      </w:r>
      <w:r w:rsidRPr="0002426A">
        <w:rPr>
          <w:bCs/>
          <w:color w:val="000000"/>
        </w:rPr>
        <w:lastRenderedPageBreak/>
        <w:t>adapting to economic shifts, the business can maintain profitability and long-term sustainability even amid rising costs and market volatility.</w:t>
      </w:r>
    </w:p>
    <w:p w14:paraId="14472C99" w14:textId="2ED6E94E" w:rsidR="0002426A" w:rsidRPr="007E1727" w:rsidRDefault="0002426A" w:rsidP="0002426A">
      <w:pPr>
        <w:spacing w:line="480" w:lineRule="auto"/>
        <w:rPr>
          <w:b/>
          <w:color w:val="000000"/>
        </w:rPr>
      </w:pPr>
    </w:p>
    <w:bookmarkEnd w:id="0"/>
    <w:p w14:paraId="5FC249A1" w14:textId="77777777" w:rsidR="000455F6" w:rsidRPr="007E1727" w:rsidRDefault="000455F6" w:rsidP="003F62B7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7E1727">
        <w:rPr>
          <w:color w:val="000000"/>
        </w:rPr>
        <w:br w:type="page"/>
      </w:r>
      <w:r w:rsidRPr="007E1727">
        <w:rPr>
          <w:b/>
          <w:color w:val="000000"/>
        </w:rPr>
        <w:lastRenderedPageBreak/>
        <w:t>References</w:t>
      </w:r>
    </w:p>
    <w:p w14:paraId="70F15BB1" w14:textId="77777777" w:rsidR="002717C3" w:rsidRPr="00E44FBA" w:rsidRDefault="002717C3" w:rsidP="002717C3">
      <w:pPr>
        <w:spacing w:line="480" w:lineRule="auto"/>
        <w:ind w:left="720" w:hanging="720"/>
        <w:jc w:val="both"/>
        <w:rPr>
          <w:color w:val="000000"/>
        </w:rPr>
      </w:pPr>
      <w:r w:rsidRPr="00E44FBA">
        <w:rPr>
          <w:color w:val="000000"/>
        </w:rPr>
        <w:t xml:space="preserve">Brunner, B., Aegerter, A. M., Johnston, V., Volken, T., </w:t>
      </w:r>
      <w:proofErr w:type="spellStart"/>
      <w:r w:rsidRPr="00E44FBA">
        <w:rPr>
          <w:color w:val="000000"/>
        </w:rPr>
        <w:t>Deforth</w:t>
      </w:r>
      <w:proofErr w:type="spellEnd"/>
      <w:r w:rsidRPr="00E44FBA">
        <w:rPr>
          <w:color w:val="000000"/>
        </w:rPr>
        <w:t xml:space="preserve">, M., Sjøgaard, G., Elfering, A., Melloh, M., Barbero, M., Cornwall, J., Da Cruz Pereira, Y., Distler, O., </w:t>
      </w:r>
      <w:proofErr w:type="spellStart"/>
      <w:r w:rsidRPr="00E44FBA">
        <w:rPr>
          <w:color w:val="000000"/>
        </w:rPr>
        <w:t>Dratva</w:t>
      </w:r>
      <w:proofErr w:type="spellEnd"/>
      <w:r w:rsidRPr="00E44FBA">
        <w:rPr>
          <w:color w:val="000000"/>
        </w:rPr>
        <w:t xml:space="preserve">, J., Dressel, H., Egli, T., Ernst, M. J., </w:t>
      </w:r>
      <w:proofErr w:type="spellStart"/>
      <w:r w:rsidRPr="00E44FBA">
        <w:rPr>
          <w:color w:val="000000"/>
        </w:rPr>
        <w:t>Etzer</w:t>
      </w:r>
      <w:proofErr w:type="spellEnd"/>
      <w:r w:rsidRPr="00E44FBA">
        <w:rPr>
          <w:color w:val="000000"/>
        </w:rPr>
        <w:t xml:space="preserve">-Hofer, I., Falla, D., Gisler, M., . . . </w:t>
      </w:r>
      <w:proofErr w:type="spellStart"/>
      <w:r w:rsidRPr="00E44FBA">
        <w:rPr>
          <w:color w:val="000000"/>
        </w:rPr>
        <w:t>NEXpro</w:t>
      </w:r>
      <w:proofErr w:type="spellEnd"/>
      <w:r w:rsidRPr="00E44FBA">
        <w:rPr>
          <w:color w:val="000000"/>
        </w:rPr>
        <w:t xml:space="preserve"> Collaboration Group. (2025). Cost-utility and cost–benefit analysis of a multi-component intervention (</w:t>
      </w:r>
      <w:proofErr w:type="spellStart"/>
      <w:r w:rsidRPr="00E44FBA">
        <w:rPr>
          <w:color w:val="000000"/>
        </w:rPr>
        <w:t>NEXpro</w:t>
      </w:r>
      <w:proofErr w:type="spellEnd"/>
      <w:r w:rsidRPr="00E44FBA">
        <w:rPr>
          <w:color w:val="000000"/>
        </w:rPr>
        <w:t xml:space="preserve">) for neck-related symptoms in </w:t>
      </w:r>
      <w:proofErr w:type="spellStart"/>
      <w:r w:rsidRPr="00E44FBA">
        <w:rPr>
          <w:color w:val="000000"/>
        </w:rPr>
        <w:t>swiss</w:t>
      </w:r>
      <w:proofErr w:type="spellEnd"/>
      <w:r w:rsidRPr="00E44FBA">
        <w:rPr>
          <w:color w:val="000000"/>
        </w:rPr>
        <w:t xml:space="preserve"> office workers.</w:t>
      </w:r>
      <w:r w:rsidRPr="00E44FBA">
        <w:rPr>
          <w:i/>
          <w:iCs/>
          <w:color w:val="000000"/>
        </w:rPr>
        <w:t> BMC Public Health, 25</w:t>
      </w:r>
      <w:r w:rsidRPr="00E44FBA">
        <w:rPr>
          <w:color w:val="000000"/>
        </w:rPr>
        <w:t>(1), 160-13. </w:t>
      </w:r>
      <w:hyperlink r:id="rId10" w:tgtFrame="_blank" w:history="1">
        <w:r w:rsidRPr="00E44FBA">
          <w:rPr>
            <w:rStyle w:val="Hyperlink"/>
          </w:rPr>
          <w:t>https://doi.org/10.1186/s12889-024-21103-6</w:t>
        </w:r>
      </w:hyperlink>
    </w:p>
    <w:p w14:paraId="76578A1C" w14:textId="77777777" w:rsidR="002717C3" w:rsidRPr="00E44FBA" w:rsidRDefault="002717C3" w:rsidP="002717C3">
      <w:pPr>
        <w:spacing w:line="480" w:lineRule="auto"/>
        <w:ind w:left="720" w:hanging="720"/>
        <w:jc w:val="both"/>
        <w:rPr>
          <w:color w:val="000000"/>
        </w:rPr>
      </w:pPr>
      <w:r w:rsidRPr="00E44FBA">
        <w:rPr>
          <w:color w:val="000000"/>
        </w:rPr>
        <w:t>Husemann, M., Kirste, A., &amp; Stumpf, E. (2024). Analysis of cost-efficient urban air mobility systems: Optimization of operational and configurational fleet decisions.</w:t>
      </w:r>
      <w:r w:rsidRPr="00E44FBA">
        <w:rPr>
          <w:i/>
          <w:iCs/>
          <w:color w:val="000000"/>
        </w:rPr>
        <w:t> European Journal of Operational Research, 317</w:t>
      </w:r>
      <w:r w:rsidRPr="00E44FBA">
        <w:rPr>
          <w:color w:val="000000"/>
        </w:rPr>
        <w:t>(3), 678-695. </w:t>
      </w:r>
      <w:hyperlink r:id="rId11" w:tgtFrame="_blank" w:history="1">
        <w:r w:rsidRPr="00E44FBA">
          <w:rPr>
            <w:rStyle w:val="Hyperlink"/>
          </w:rPr>
          <w:t>https://doi.org/10.1016/j.ejor.2023.04.040</w:t>
        </w:r>
      </w:hyperlink>
    </w:p>
    <w:p w14:paraId="175A5B45" w14:textId="77777777" w:rsidR="002717C3" w:rsidRPr="00E44FBA" w:rsidRDefault="002717C3" w:rsidP="002717C3">
      <w:pPr>
        <w:spacing w:line="480" w:lineRule="auto"/>
        <w:ind w:left="720" w:hanging="720"/>
        <w:jc w:val="both"/>
        <w:rPr>
          <w:color w:val="000000"/>
        </w:rPr>
      </w:pPr>
      <w:proofErr w:type="spellStart"/>
      <w:r w:rsidRPr="00E44FBA">
        <w:rPr>
          <w:color w:val="000000"/>
        </w:rPr>
        <w:t>Pekkari</w:t>
      </w:r>
      <w:proofErr w:type="spellEnd"/>
      <w:r w:rsidRPr="00E44FBA">
        <w:rPr>
          <w:color w:val="000000"/>
        </w:rPr>
        <w:t>, C., Lund, B., Davidson, T., Naimi-Akbar, A., Marcusson, A., &amp; Weiner, C. K. (2024). Cost analysis of orthognathic surgery: Outpatient care versus inpatient care.</w:t>
      </w:r>
      <w:r w:rsidRPr="00E44FBA">
        <w:rPr>
          <w:i/>
          <w:iCs/>
          <w:color w:val="000000"/>
        </w:rPr>
        <w:t> International Journal of Oral and Maxillofacial Surgery, 53</w:t>
      </w:r>
      <w:r w:rsidRPr="00E44FBA">
        <w:rPr>
          <w:color w:val="000000"/>
        </w:rPr>
        <w:t>(10), 829-835. </w:t>
      </w:r>
      <w:hyperlink r:id="rId12" w:tgtFrame="_blank" w:history="1">
        <w:r w:rsidRPr="00E44FBA">
          <w:rPr>
            <w:rStyle w:val="Hyperlink"/>
          </w:rPr>
          <w:t>https://doi.org/10.1016/j.ijom.2024.02.005</w:t>
        </w:r>
      </w:hyperlink>
    </w:p>
    <w:p w14:paraId="006C2CBA" w14:textId="77777777" w:rsidR="002717C3" w:rsidRPr="00E44FBA" w:rsidRDefault="002717C3" w:rsidP="002717C3">
      <w:pPr>
        <w:spacing w:line="480" w:lineRule="auto"/>
        <w:ind w:left="720" w:hanging="720"/>
        <w:jc w:val="both"/>
        <w:rPr>
          <w:color w:val="000000"/>
        </w:rPr>
      </w:pPr>
      <w:r w:rsidRPr="00E44FBA">
        <w:rPr>
          <w:color w:val="000000"/>
        </w:rPr>
        <w:t xml:space="preserve">Senanayake, S., </w:t>
      </w:r>
      <w:proofErr w:type="spellStart"/>
      <w:r w:rsidRPr="00E44FBA">
        <w:rPr>
          <w:color w:val="000000"/>
        </w:rPr>
        <w:t>Lieo</w:t>
      </w:r>
      <w:proofErr w:type="spellEnd"/>
      <w:r w:rsidRPr="00E44FBA">
        <w:rPr>
          <w:color w:val="000000"/>
        </w:rPr>
        <w:t xml:space="preserve">, S. W. X., </w:t>
      </w:r>
      <w:proofErr w:type="spellStart"/>
      <w:r w:rsidRPr="00E44FBA">
        <w:rPr>
          <w:color w:val="000000"/>
        </w:rPr>
        <w:t>Latib</w:t>
      </w:r>
      <w:proofErr w:type="spellEnd"/>
      <w:r w:rsidRPr="00E44FBA">
        <w:rPr>
          <w:color w:val="000000"/>
        </w:rPr>
        <w:t xml:space="preserve">, A. B., </w:t>
      </w:r>
      <w:proofErr w:type="spellStart"/>
      <w:r w:rsidRPr="00E44FBA">
        <w:rPr>
          <w:color w:val="000000"/>
        </w:rPr>
        <w:t>Kularatna</w:t>
      </w:r>
      <w:proofErr w:type="spellEnd"/>
      <w:r w:rsidRPr="00E44FBA">
        <w:rPr>
          <w:color w:val="000000"/>
        </w:rPr>
        <w:t xml:space="preserve">, S., Graves, N., Kui, M. S. L., O’Regan, D. P., Chan, M. Y. Y., </w:t>
      </w:r>
      <w:proofErr w:type="spellStart"/>
      <w:r w:rsidRPr="00E44FBA">
        <w:rPr>
          <w:color w:val="000000"/>
        </w:rPr>
        <w:t>Hausenloy</w:t>
      </w:r>
      <w:proofErr w:type="spellEnd"/>
      <w:r w:rsidRPr="00E44FBA">
        <w:rPr>
          <w:color w:val="000000"/>
        </w:rPr>
        <w:t>, D. J., Chin, C. W. L., &amp; Le, T. (2025). Cost analysis of exercise cardiac magnetic resonance imaging in suspected dilated cardiomyopathy—a single-center experience.</w:t>
      </w:r>
      <w:r w:rsidRPr="00E44FBA">
        <w:rPr>
          <w:i/>
          <w:iCs/>
          <w:color w:val="000000"/>
        </w:rPr>
        <w:t> Journal of Cardiovascular Magnetic Resonance, 27</w:t>
      </w:r>
      <w:r w:rsidRPr="00E44FBA">
        <w:rPr>
          <w:color w:val="000000"/>
        </w:rPr>
        <w:t>(2), 101924. </w:t>
      </w:r>
      <w:hyperlink r:id="rId13" w:tgtFrame="_blank" w:history="1">
        <w:r w:rsidRPr="00E44FBA">
          <w:rPr>
            <w:rStyle w:val="Hyperlink"/>
          </w:rPr>
          <w:t>https://doi.org/10.1016/j.jocmr.2025.101924</w:t>
        </w:r>
      </w:hyperlink>
    </w:p>
    <w:p w14:paraId="50FC9A0F" w14:textId="77777777" w:rsidR="002717C3" w:rsidRPr="00E44FBA" w:rsidRDefault="002717C3" w:rsidP="002717C3">
      <w:pPr>
        <w:spacing w:line="480" w:lineRule="auto"/>
        <w:ind w:left="720" w:hanging="720"/>
        <w:jc w:val="both"/>
        <w:rPr>
          <w:color w:val="000000"/>
        </w:rPr>
      </w:pPr>
      <w:r w:rsidRPr="00E44FBA">
        <w:rPr>
          <w:color w:val="000000"/>
        </w:rPr>
        <w:t xml:space="preserve">Silva, C. d., França, M. T. A., &amp; Neto, G. B. (2024). A cost analysis of </w:t>
      </w:r>
      <w:proofErr w:type="spellStart"/>
      <w:r w:rsidRPr="00E44FBA">
        <w:rPr>
          <w:color w:val="000000"/>
        </w:rPr>
        <w:t>machado</w:t>
      </w:r>
      <w:proofErr w:type="spellEnd"/>
      <w:r w:rsidRPr="00E44FBA">
        <w:rPr>
          <w:color w:val="000000"/>
        </w:rPr>
        <w:t>-Joseph’s disease (MJD).</w:t>
      </w:r>
      <w:r w:rsidRPr="00E44FBA">
        <w:rPr>
          <w:i/>
          <w:iCs/>
          <w:color w:val="000000"/>
        </w:rPr>
        <w:t> </w:t>
      </w:r>
      <w:proofErr w:type="spellStart"/>
      <w:r w:rsidRPr="00E44FBA">
        <w:rPr>
          <w:i/>
          <w:iCs/>
          <w:color w:val="000000"/>
        </w:rPr>
        <w:t>PloS</w:t>
      </w:r>
      <w:proofErr w:type="spellEnd"/>
      <w:r w:rsidRPr="00E44FBA">
        <w:rPr>
          <w:i/>
          <w:iCs/>
          <w:color w:val="000000"/>
        </w:rPr>
        <w:t xml:space="preserve"> One, 19</w:t>
      </w:r>
      <w:r w:rsidRPr="00E44FBA">
        <w:rPr>
          <w:color w:val="000000"/>
        </w:rPr>
        <w:t>(9), e0307885. </w:t>
      </w:r>
      <w:hyperlink r:id="rId14" w:tgtFrame="_blank" w:history="1">
        <w:r w:rsidRPr="00E44FBA">
          <w:rPr>
            <w:rStyle w:val="Hyperlink"/>
          </w:rPr>
          <w:t>https://doi.org/10.1371/journal.pone.0307885</w:t>
        </w:r>
      </w:hyperlink>
    </w:p>
    <w:sectPr w:rsidR="002717C3" w:rsidRPr="00E44FBA" w:rsidSect="002830B3">
      <w:head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D762" w14:textId="77777777" w:rsidR="00C76F0E" w:rsidRDefault="00C76F0E">
      <w:r>
        <w:separator/>
      </w:r>
    </w:p>
  </w:endnote>
  <w:endnote w:type="continuationSeparator" w:id="0">
    <w:p w14:paraId="42BC441D" w14:textId="77777777" w:rsidR="00C76F0E" w:rsidRDefault="00C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D514" w14:textId="77777777" w:rsidR="00C76F0E" w:rsidRDefault="00C76F0E">
      <w:r>
        <w:separator/>
      </w:r>
    </w:p>
  </w:footnote>
  <w:footnote w:type="continuationSeparator" w:id="0">
    <w:p w14:paraId="73C30323" w14:textId="77777777" w:rsidR="00C76F0E" w:rsidRDefault="00C7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E2" w14:textId="77777777" w:rsidR="00653666" w:rsidRDefault="00653666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ECDF87A" w14:textId="65407D3E" w:rsidR="00653666" w:rsidRPr="00352E8D" w:rsidRDefault="0079639B" w:rsidP="003F5158">
    <w:pPr>
      <w:pStyle w:val="Header"/>
      <w:ind w:right="360"/>
      <w:rPr>
        <w:sz w:val="22"/>
        <w:szCs w:val="22"/>
      </w:rPr>
    </w:pPr>
    <w:r>
      <w:t>ACC501</w:t>
    </w:r>
    <w:r w:rsidR="00653666">
      <w:t xml:space="preserve"> </w:t>
    </w:r>
    <w:r w:rsidR="003F7504">
      <w:t>SLP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DD6"/>
    <w:multiLevelType w:val="multilevel"/>
    <w:tmpl w:val="71A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13C5F"/>
    <w:multiLevelType w:val="multilevel"/>
    <w:tmpl w:val="9C6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0MzYztzC3MDE0MDFR0lEKTi0uzszPAykwNq8FAGiuSZctAAAA"/>
  </w:docVars>
  <w:rsids>
    <w:rsidRoot w:val="0050433C"/>
    <w:rsid w:val="0002426A"/>
    <w:rsid w:val="00026142"/>
    <w:rsid w:val="00034325"/>
    <w:rsid w:val="0003472F"/>
    <w:rsid w:val="000455F6"/>
    <w:rsid w:val="00047143"/>
    <w:rsid w:val="000511FA"/>
    <w:rsid w:val="0006074E"/>
    <w:rsid w:val="00081629"/>
    <w:rsid w:val="00085C7F"/>
    <w:rsid w:val="00096202"/>
    <w:rsid w:val="000A198A"/>
    <w:rsid w:val="000A39A9"/>
    <w:rsid w:val="000B008D"/>
    <w:rsid w:val="000B218C"/>
    <w:rsid w:val="000B2524"/>
    <w:rsid w:val="000B6AD6"/>
    <w:rsid w:val="000C144F"/>
    <w:rsid w:val="000C1741"/>
    <w:rsid w:val="000C6AD9"/>
    <w:rsid w:val="000E0F36"/>
    <w:rsid w:val="000F1641"/>
    <w:rsid w:val="00106FDE"/>
    <w:rsid w:val="001147C1"/>
    <w:rsid w:val="00122C18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B6168"/>
    <w:rsid w:val="001D090F"/>
    <w:rsid w:val="001D1CD9"/>
    <w:rsid w:val="001D51E9"/>
    <w:rsid w:val="001F40F3"/>
    <w:rsid w:val="0020174B"/>
    <w:rsid w:val="0020241D"/>
    <w:rsid w:val="00211094"/>
    <w:rsid w:val="0021351E"/>
    <w:rsid w:val="002439C9"/>
    <w:rsid w:val="00253713"/>
    <w:rsid w:val="00256256"/>
    <w:rsid w:val="002717C3"/>
    <w:rsid w:val="002830B3"/>
    <w:rsid w:val="00286395"/>
    <w:rsid w:val="002A2C9F"/>
    <w:rsid w:val="002B31CF"/>
    <w:rsid w:val="002B4B55"/>
    <w:rsid w:val="002B6BFA"/>
    <w:rsid w:val="002C00BE"/>
    <w:rsid w:val="002C7462"/>
    <w:rsid w:val="002D022D"/>
    <w:rsid w:val="002D755D"/>
    <w:rsid w:val="002E6180"/>
    <w:rsid w:val="002F41F5"/>
    <w:rsid w:val="002F7DEF"/>
    <w:rsid w:val="00302BC5"/>
    <w:rsid w:val="00312827"/>
    <w:rsid w:val="00352229"/>
    <w:rsid w:val="00352E8D"/>
    <w:rsid w:val="00354C36"/>
    <w:rsid w:val="00356E85"/>
    <w:rsid w:val="00361978"/>
    <w:rsid w:val="00364629"/>
    <w:rsid w:val="00364C68"/>
    <w:rsid w:val="003A0026"/>
    <w:rsid w:val="003A1801"/>
    <w:rsid w:val="003B7948"/>
    <w:rsid w:val="003C7F15"/>
    <w:rsid w:val="003D6821"/>
    <w:rsid w:val="003E42AB"/>
    <w:rsid w:val="003E5F3A"/>
    <w:rsid w:val="003F2F65"/>
    <w:rsid w:val="003F3719"/>
    <w:rsid w:val="003F5158"/>
    <w:rsid w:val="003F62B7"/>
    <w:rsid w:val="003F7504"/>
    <w:rsid w:val="00403444"/>
    <w:rsid w:val="00415754"/>
    <w:rsid w:val="00420274"/>
    <w:rsid w:val="00422016"/>
    <w:rsid w:val="00425A9A"/>
    <w:rsid w:val="00430195"/>
    <w:rsid w:val="00436393"/>
    <w:rsid w:val="00440095"/>
    <w:rsid w:val="0044069F"/>
    <w:rsid w:val="0044112E"/>
    <w:rsid w:val="00454CAF"/>
    <w:rsid w:val="00456686"/>
    <w:rsid w:val="004578EE"/>
    <w:rsid w:val="004604B1"/>
    <w:rsid w:val="00466700"/>
    <w:rsid w:val="0047025A"/>
    <w:rsid w:val="004853C2"/>
    <w:rsid w:val="00492DCE"/>
    <w:rsid w:val="0049530B"/>
    <w:rsid w:val="004A3C8E"/>
    <w:rsid w:val="004C1298"/>
    <w:rsid w:val="004C5ED0"/>
    <w:rsid w:val="00502A2F"/>
    <w:rsid w:val="005040FF"/>
    <w:rsid w:val="0050433C"/>
    <w:rsid w:val="0050489F"/>
    <w:rsid w:val="00522766"/>
    <w:rsid w:val="00527508"/>
    <w:rsid w:val="00530A67"/>
    <w:rsid w:val="0053493C"/>
    <w:rsid w:val="005412E4"/>
    <w:rsid w:val="00542667"/>
    <w:rsid w:val="00543F8F"/>
    <w:rsid w:val="005445D5"/>
    <w:rsid w:val="005511A8"/>
    <w:rsid w:val="0055467F"/>
    <w:rsid w:val="00561A56"/>
    <w:rsid w:val="00565081"/>
    <w:rsid w:val="0057635E"/>
    <w:rsid w:val="00581CE2"/>
    <w:rsid w:val="00595B65"/>
    <w:rsid w:val="005A555C"/>
    <w:rsid w:val="005C1D17"/>
    <w:rsid w:val="005C4B3D"/>
    <w:rsid w:val="005E0EEB"/>
    <w:rsid w:val="005E5214"/>
    <w:rsid w:val="005E5984"/>
    <w:rsid w:val="005F2027"/>
    <w:rsid w:val="005F3678"/>
    <w:rsid w:val="005F75ED"/>
    <w:rsid w:val="0060394A"/>
    <w:rsid w:val="006124DB"/>
    <w:rsid w:val="00614C45"/>
    <w:rsid w:val="00625523"/>
    <w:rsid w:val="0063214E"/>
    <w:rsid w:val="006416F4"/>
    <w:rsid w:val="006431F1"/>
    <w:rsid w:val="00653666"/>
    <w:rsid w:val="00656206"/>
    <w:rsid w:val="00660724"/>
    <w:rsid w:val="006624AB"/>
    <w:rsid w:val="00671116"/>
    <w:rsid w:val="00672D33"/>
    <w:rsid w:val="006730B0"/>
    <w:rsid w:val="00674A8C"/>
    <w:rsid w:val="006A5C5E"/>
    <w:rsid w:val="006B25B5"/>
    <w:rsid w:val="006D6F63"/>
    <w:rsid w:val="006E1EF5"/>
    <w:rsid w:val="006F116C"/>
    <w:rsid w:val="006F527A"/>
    <w:rsid w:val="0070200D"/>
    <w:rsid w:val="00711DC4"/>
    <w:rsid w:val="0075015A"/>
    <w:rsid w:val="007572B6"/>
    <w:rsid w:val="00765751"/>
    <w:rsid w:val="00771B39"/>
    <w:rsid w:val="0079639B"/>
    <w:rsid w:val="007A1B1F"/>
    <w:rsid w:val="007D1376"/>
    <w:rsid w:val="007E1727"/>
    <w:rsid w:val="007F79BB"/>
    <w:rsid w:val="008026AA"/>
    <w:rsid w:val="0081017D"/>
    <w:rsid w:val="00820200"/>
    <w:rsid w:val="00824636"/>
    <w:rsid w:val="008255DE"/>
    <w:rsid w:val="00836F27"/>
    <w:rsid w:val="00841A9E"/>
    <w:rsid w:val="00841F4A"/>
    <w:rsid w:val="00844EE7"/>
    <w:rsid w:val="00854C46"/>
    <w:rsid w:val="008677D0"/>
    <w:rsid w:val="00873554"/>
    <w:rsid w:val="00880C08"/>
    <w:rsid w:val="00883AAD"/>
    <w:rsid w:val="00896609"/>
    <w:rsid w:val="008A084D"/>
    <w:rsid w:val="008B7F59"/>
    <w:rsid w:val="008C7966"/>
    <w:rsid w:val="008D23AA"/>
    <w:rsid w:val="008D2859"/>
    <w:rsid w:val="008D3F0D"/>
    <w:rsid w:val="008D5C02"/>
    <w:rsid w:val="008E469D"/>
    <w:rsid w:val="008F74C4"/>
    <w:rsid w:val="009007D4"/>
    <w:rsid w:val="0091254D"/>
    <w:rsid w:val="009247A1"/>
    <w:rsid w:val="0094570E"/>
    <w:rsid w:val="00954A41"/>
    <w:rsid w:val="00960B22"/>
    <w:rsid w:val="009632A1"/>
    <w:rsid w:val="00964FF8"/>
    <w:rsid w:val="009749F9"/>
    <w:rsid w:val="009758CD"/>
    <w:rsid w:val="00977C3F"/>
    <w:rsid w:val="00990C99"/>
    <w:rsid w:val="00991A50"/>
    <w:rsid w:val="009A3DEA"/>
    <w:rsid w:val="009B48D2"/>
    <w:rsid w:val="009B6C8F"/>
    <w:rsid w:val="009C36FD"/>
    <w:rsid w:val="009C743D"/>
    <w:rsid w:val="009D375B"/>
    <w:rsid w:val="009D378A"/>
    <w:rsid w:val="009E228A"/>
    <w:rsid w:val="00A00D2C"/>
    <w:rsid w:val="00A037C7"/>
    <w:rsid w:val="00A13576"/>
    <w:rsid w:val="00A142C3"/>
    <w:rsid w:val="00A1437D"/>
    <w:rsid w:val="00A225DF"/>
    <w:rsid w:val="00A27F42"/>
    <w:rsid w:val="00A37498"/>
    <w:rsid w:val="00A426A5"/>
    <w:rsid w:val="00A42F13"/>
    <w:rsid w:val="00A4532E"/>
    <w:rsid w:val="00A47689"/>
    <w:rsid w:val="00A6361F"/>
    <w:rsid w:val="00A725AF"/>
    <w:rsid w:val="00A75CFC"/>
    <w:rsid w:val="00A93CC1"/>
    <w:rsid w:val="00A95E3A"/>
    <w:rsid w:val="00AA3F20"/>
    <w:rsid w:val="00AB3DAE"/>
    <w:rsid w:val="00AC1008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1B9A"/>
    <w:rsid w:val="00B32F73"/>
    <w:rsid w:val="00B342B1"/>
    <w:rsid w:val="00B37F5A"/>
    <w:rsid w:val="00B4235C"/>
    <w:rsid w:val="00B45FCA"/>
    <w:rsid w:val="00B46191"/>
    <w:rsid w:val="00B46D48"/>
    <w:rsid w:val="00B6023E"/>
    <w:rsid w:val="00B6034C"/>
    <w:rsid w:val="00B62A78"/>
    <w:rsid w:val="00B742AF"/>
    <w:rsid w:val="00B80515"/>
    <w:rsid w:val="00B8112C"/>
    <w:rsid w:val="00B87775"/>
    <w:rsid w:val="00B93D96"/>
    <w:rsid w:val="00BA21C5"/>
    <w:rsid w:val="00BD1C8D"/>
    <w:rsid w:val="00BD3733"/>
    <w:rsid w:val="00BD6FF4"/>
    <w:rsid w:val="00BE410C"/>
    <w:rsid w:val="00BF0F1B"/>
    <w:rsid w:val="00BF7C6E"/>
    <w:rsid w:val="00C004E5"/>
    <w:rsid w:val="00C16DDC"/>
    <w:rsid w:val="00C21C1C"/>
    <w:rsid w:val="00C22265"/>
    <w:rsid w:val="00C270FF"/>
    <w:rsid w:val="00C277CE"/>
    <w:rsid w:val="00C31727"/>
    <w:rsid w:val="00C51C2A"/>
    <w:rsid w:val="00C5533D"/>
    <w:rsid w:val="00C74F8E"/>
    <w:rsid w:val="00C769CD"/>
    <w:rsid w:val="00C76F0E"/>
    <w:rsid w:val="00C863E2"/>
    <w:rsid w:val="00C916E2"/>
    <w:rsid w:val="00C9472F"/>
    <w:rsid w:val="00CA791D"/>
    <w:rsid w:val="00CC057E"/>
    <w:rsid w:val="00CC3628"/>
    <w:rsid w:val="00CD2528"/>
    <w:rsid w:val="00CE2E66"/>
    <w:rsid w:val="00CF070A"/>
    <w:rsid w:val="00CF088C"/>
    <w:rsid w:val="00D0108C"/>
    <w:rsid w:val="00D13AC0"/>
    <w:rsid w:val="00D172FE"/>
    <w:rsid w:val="00D17DAF"/>
    <w:rsid w:val="00D200BF"/>
    <w:rsid w:val="00D21AF1"/>
    <w:rsid w:val="00D47CA9"/>
    <w:rsid w:val="00D57D30"/>
    <w:rsid w:val="00D6768F"/>
    <w:rsid w:val="00D7332A"/>
    <w:rsid w:val="00D844B2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4FBA"/>
    <w:rsid w:val="00E45724"/>
    <w:rsid w:val="00E45886"/>
    <w:rsid w:val="00E547D4"/>
    <w:rsid w:val="00E63F35"/>
    <w:rsid w:val="00E642BD"/>
    <w:rsid w:val="00E64AD3"/>
    <w:rsid w:val="00E65B61"/>
    <w:rsid w:val="00E75D3A"/>
    <w:rsid w:val="00E80CFF"/>
    <w:rsid w:val="00E940DC"/>
    <w:rsid w:val="00E94A62"/>
    <w:rsid w:val="00EB211C"/>
    <w:rsid w:val="00EB65C0"/>
    <w:rsid w:val="00EC03B6"/>
    <w:rsid w:val="00ED47C2"/>
    <w:rsid w:val="00ED6EF3"/>
    <w:rsid w:val="00ED7EAB"/>
    <w:rsid w:val="00EE51C9"/>
    <w:rsid w:val="00EF1655"/>
    <w:rsid w:val="00EF1CB2"/>
    <w:rsid w:val="00EF57CD"/>
    <w:rsid w:val="00F10A09"/>
    <w:rsid w:val="00F20699"/>
    <w:rsid w:val="00F257CE"/>
    <w:rsid w:val="00F31B75"/>
    <w:rsid w:val="00F35BE5"/>
    <w:rsid w:val="00F378C4"/>
    <w:rsid w:val="00F4191B"/>
    <w:rsid w:val="00F43BA1"/>
    <w:rsid w:val="00F468D1"/>
    <w:rsid w:val="00F62922"/>
    <w:rsid w:val="00F64DDA"/>
    <w:rsid w:val="00F7461E"/>
    <w:rsid w:val="00F84528"/>
    <w:rsid w:val="00F8489A"/>
    <w:rsid w:val="00F84D66"/>
    <w:rsid w:val="00F8638A"/>
    <w:rsid w:val="00F93AF8"/>
    <w:rsid w:val="00F96724"/>
    <w:rsid w:val="00F96D0F"/>
    <w:rsid w:val="00F96D5C"/>
    <w:rsid w:val="00FA5606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4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EA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42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jocmr.2025.1019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ijom.2024.02.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jor.2023.04.04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186/s12889-024-21103-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1371/journal.pone.030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2047</Words>
  <Characters>11671</Characters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2024-10-20T17:10:00Z</dcterms:created>
  <dcterms:modified xsi:type="dcterms:W3CDTF">2025-08-15T16:09:00Z</dcterms:modified>
</cp:coreProperties>
</file>