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7DCD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9AA434B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466FA396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0D8CF4B9" w14:textId="77777777" w:rsidR="00F468D1" w:rsidRPr="007E1727" w:rsidRDefault="00F468D1" w:rsidP="00B224B6">
      <w:pPr>
        <w:spacing w:line="480" w:lineRule="auto"/>
        <w:ind w:firstLine="720"/>
        <w:jc w:val="center"/>
        <w:rPr>
          <w:b/>
          <w:bCs/>
        </w:rPr>
      </w:pPr>
    </w:p>
    <w:p w14:paraId="253C824D" w14:textId="199B88EC" w:rsidR="00286395" w:rsidRPr="007E1727" w:rsidRDefault="0079639B" w:rsidP="00F378C4">
      <w:pPr>
        <w:spacing w:line="480" w:lineRule="auto"/>
        <w:jc w:val="center"/>
        <w:rPr>
          <w:b/>
          <w:bCs/>
        </w:rPr>
      </w:pPr>
      <w:r>
        <w:rPr>
          <w:b/>
          <w:bCs/>
        </w:rPr>
        <w:t>ACC501</w:t>
      </w:r>
      <w:r w:rsidR="004C5ED0">
        <w:rPr>
          <w:b/>
          <w:bCs/>
        </w:rPr>
        <w:t xml:space="preserve"> </w:t>
      </w:r>
      <w:r w:rsidR="00352229" w:rsidRPr="007E1727">
        <w:rPr>
          <w:b/>
          <w:bCs/>
        </w:rPr>
        <w:t>Case</w:t>
      </w:r>
      <w:r w:rsidR="006624AB" w:rsidRPr="007E1727">
        <w:rPr>
          <w:b/>
          <w:bCs/>
        </w:rPr>
        <w:t xml:space="preserve"> </w:t>
      </w:r>
      <w:r w:rsidR="00E046B3" w:rsidRPr="007E1727">
        <w:rPr>
          <w:b/>
          <w:bCs/>
        </w:rPr>
        <w:t>1</w:t>
      </w:r>
    </w:p>
    <w:p w14:paraId="215330E4" w14:textId="77777777" w:rsidR="00286395" w:rsidRPr="007E1727" w:rsidRDefault="00286395" w:rsidP="00B224B6">
      <w:pPr>
        <w:spacing w:line="480" w:lineRule="auto"/>
        <w:ind w:firstLine="720"/>
        <w:jc w:val="center"/>
      </w:pPr>
    </w:p>
    <w:p w14:paraId="0C9670E1" w14:textId="77777777" w:rsidR="00454CAF" w:rsidRPr="007E1727" w:rsidRDefault="00454CAF" w:rsidP="00F378C4">
      <w:pPr>
        <w:spacing w:line="480" w:lineRule="auto"/>
        <w:jc w:val="center"/>
      </w:pPr>
      <w:r w:rsidRPr="007E1727">
        <w:t>Your Name</w:t>
      </w:r>
    </w:p>
    <w:p w14:paraId="02750D95" w14:textId="77777777" w:rsidR="00454CAF" w:rsidRPr="007E1727" w:rsidRDefault="00454CAF" w:rsidP="00F378C4">
      <w:pPr>
        <w:spacing w:line="480" w:lineRule="auto"/>
        <w:jc w:val="center"/>
      </w:pPr>
      <w:r w:rsidRPr="007E1727">
        <w:t xml:space="preserve">Trident University International </w:t>
      </w:r>
    </w:p>
    <w:p w14:paraId="27BBC8F8" w14:textId="6A19A1E4" w:rsidR="0079639B" w:rsidRDefault="0079639B" w:rsidP="00F378C4">
      <w:pPr>
        <w:spacing w:line="480" w:lineRule="auto"/>
        <w:jc w:val="center"/>
      </w:pPr>
      <w:r w:rsidRPr="0079639B">
        <w:t xml:space="preserve">ACC501 Accounting for Decision Making </w:t>
      </w:r>
    </w:p>
    <w:p w14:paraId="54C389E1" w14:textId="7498DF4F" w:rsidR="00844EE7" w:rsidRPr="007E1727" w:rsidRDefault="00454CAF" w:rsidP="00F378C4">
      <w:pPr>
        <w:spacing w:line="480" w:lineRule="auto"/>
        <w:jc w:val="center"/>
      </w:pPr>
      <w:r w:rsidRPr="007E1727">
        <w:t>Due Date</w:t>
      </w:r>
    </w:p>
    <w:p w14:paraId="6C8D5EF8" w14:textId="56D46919" w:rsidR="003C7F15" w:rsidRPr="007E1727" w:rsidRDefault="00352E8D" w:rsidP="00D6768F">
      <w:pPr>
        <w:spacing w:line="480" w:lineRule="auto"/>
        <w:rPr>
          <w:b/>
          <w:bCs/>
        </w:rPr>
      </w:pPr>
      <w:r w:rsidRPr="007E1727">
        <w:br w:type="page"/>
      </w:r>
    </w:p>
    <w:p w14:paraId="1DF862F2" w14:textId="17E4D9DE" w:rsidR="00D200BF" w:rsidRDefault="00F2264B" w:rsidP="00D6768F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>Introduction</w:t>
      </w:r>
    </w:p>
    <w:p w14:paraId="069D42E0" w14:textId="328A2DFD" w:rsidR="00F2264B" w:rsidRPr="00F2264B" w:rsidRDefault="00F2264B" w:rsidP="00F2264B">
      <w:pPr>
        <w:spacing w:line="480" w:lineRule="auto"/>
      </w:pPr>
      <w:r w:rsidRPr="00F2264B">
        <w:tab/>
        <w:t>Th</w:t>
      </w:r>
      <w:r w:rsidR="006C2B3E">
        <w:t xml:space="preserve">e report deals with the </w:t>
      </w:r>
      <w:r w:rsidRPr="00F2264B">
        <w:t>analysis of Traditional Financial Reporting and Triple Bottom Line (TBL) Reporting, using five years of financial, social, and environmental data from the company created in SLP 1</w:t>
      </w:r>
      <w:r w:rsidR="007F553C">
        <w:t xml:space="preserve"> </w:t>
      </w:r>
      <w:r w:rsidR="007F553C" w:rsidRPr="007F553C">
        <w:t>(Ashraf, Choudhary, &amp; Jaggi, 2024)</w:t>
      </w:r>
      <w:r w:rsidRPr="00F2264B">
        <w:t xml:space="preserve">. </w:t>
      </w:r>
      <w:r w:rsidR="006C2B3E">
        <w:t xml:space="preserve">One of the major </w:t>
      </w:r>
      <w:r w:rsidR="00263FEE" w:rsidRPr="00F2264B">
        <w:t>objectives</w:t>
      </w:r>
      <w:r w:rsidRPr="00F2264B">
        <w:t xml:space="preserve"> </w:t>
      </w:r>
      <w:r w:rsidR="006C2B3E">
        <w:t xml:space="preserve">of the report </w:t>
      </w:r>
      <w:r w:rsidRPr="00F2264B">
        <w:t>is to evaluate patterns in revenue, profitability, social investments, and sustainability initiatives to assess overall business performance and long-term viability</w:t>
      </w:r>
      <w:r w:rsidR="006C2B3E">
        <w:t xml:space="preserve"> such as b</w:t>
      </w:r>
      <w:r w:rsidRPr="00F2264B">
        <w:t>y integrating recent research and industry trends, the analysis highlights how TBL offers a more comprehensive view for informed decision-making and sustainable growth</w:t>
      </w:r>
      <w:r w:rsidR="007F553C">
        <w:t xml:space="preserve"> </w:t>
      </w:r>
      <w:r w:rsidR="007F553C" w:rsidRPr="007F553C">
        <w:t>(</w:t>
      </w:r>
      <w:proofErr w:type="spellStart"/>
      <w:r w:rsidR="007F553C" w:rsidRPr="007F553C">
        <w:t>Megeid</w:t>
      </w:r>
      <w:proofErr w:type="spellEnd"/>
      <w:r w:rsidR="007F553C" w:rsidRPr="007F553C">
        <w:t>, 2024)</w:t>
      </w:r>
      <w:r w:rsidRPr="00F2264B">
        <w:t>.</w:t>
      </w:r>
    </w:p>
    <w:p w14:paraId="1D32F9C6" w14:textId="5A1B399B" w:rsidR="00F2264B" w:rsidRPr="007E1727" w:rsidRDefault="00F2264B" w:rsidP="00F2264B">
      <w:pPr>
        <w:spacing w:line="480" w:lineRule="auto"/>
        <w:rPr>
          <w:b/>
          <w:bCs/>
        </w:rPr>
      </w:pPr>
    </w:p>
    <w:p w14:paraId="5921202E" w14:textId="77777777" w:rsidR="00964FF8" w:rsidRDefault="00964FF8" w:rsidP="00964FF8">
      <w:pPr>
        <w:spacing w:line="480" w:lineRule="auto"/>
        <w:jc w:val="center"/>
        <w:rPr>
          <w:b/>
          <w:bCs/>
        </w:rPr>
      </w:pPr>
      <w:bookmarkStart w:id="0" w:name="_Hlk158375419"/>
      <w:r w:rsidRPr="00835D81">
        <w:rPr>
          <w:b/>
          <w:bCs/>
        </w:rPr>
        <w:t>Differences in Scope</w:t>
      </w:r>
    </w:p>
    <w:p w14:paraId="6544556C" w14:textId="766CF8CC" w:rsidR="00F2264B" w:rsidRPr="00F2264B" w:rsidRDefault="00F2264B" w:rsidP="00F2264B">
      <w:pPr>
        <w:spacing w:line="480" w:lineRule="auto"/>
      </w:pPr>
      <w:r w:rsidRPr="00F2264B">
        <w:tab/>
      </w:r>
      <w:r w:rsidR="006C2B3E">
        <w:t>It is evident from the t</w:t>
      </w:r>
      <w:r w:rsidRPr="00F2264B">
        <w:t xml:space="preserve">raditional financial reporting, which primarily consists of the Income Statement and Balance Sheet, focuses exclusively on quantifiable financial metrics such as revenues, expenses, profits, assets, liabilities, and equity. </w:t>
      </w:r>
      <w:r w:rsidR="006C2B3E">
        <w:t xml:space="preserve">One of the </w:t>
      </w:r>
      <w:r w:rsidRPr="00F2264B">
        <w:t xml:space="preserve">primary </w:t>
      </w:r>
      <w:r w:rsidR="00263FEE" w:rsidRPr="00F2264B">
        <w:t>purposes</w:t>
      </w:r>
      <w:r w:rsidRPr="00F2264B">
        <w:t xml:space="preserve"> is to present a company’s financial position and performance to stakeholders—mainly investors, creditors, and regulators—using standardized accounting principles (IFRS or GAAP) to ensure comparability and compliance. </w:t>
      </w:r>
      <w:r w:rsidR="006C2B3E">
        <w:t xml:space="preserve">Based on </w:t>
      </w:r>
      <w:r w:rsidRPr="00F2264B">
        <w:t xml:space="preserve">this </w:t>
      </w:r>
      <w:r w:rsidR="00263FEE" w:rsidRPr="00F2264B">
        <w:t>approach,</w:t>
      </w:r>
      <w:r w:rsidRPr="00F2264B">
        <w:t xml:space="preserve"> </w:t>
      </w:r>
      <w:r w:rsidR="006C2B3E">
        <w:t xml:space="preserve">which tends to be </w:t>
      </w:r>
      <w:r w:rsidRPr="00F2264B">
        <w:t>essential for assessing short-term profitability and liquidity, it does not address non-financial factors that may significantly influence long-term business sustainability</w:t>
      </w:r>
      <w:r w:rsidR="007F553C">
        <w:t xml:space="preserve"> </w:t>
      </w:r>
      <w:r w:rsidR="007F553C" w:rsidRPr="007F553C">
        <w:t>(</w:t>
      </w:r>
      <w:proofErr w:type="spellStart"/>
      <w:r w:rsidR="007F553C" w:rsidRPr="007F553C">
        <w:t>Festing</w:t>
      </w:r>
      <w:proofErr w:type="spellEnd"/>
      <w:r w:rsidR="007F553C" w:rsidRPr="007F553C">
        <w:t xml:space="preserve"> et al., 2025)</w:t>
      </w:r>
      <w:r w:rsidRPr="00F2264B">
        <w:t>.</w:t>
      </w:r>
    </w:p>
    <w:p w14:paraId="46DFB832" w14:textId="62C14E83" w:rsidR="00F2264B" w:rsidRPr="00F2264B" w:rsidRDefault="006C2B3E" w:rsidP="00F2264B">
      <w:pPr>
        <w:spacing w:line="480" w:lineRule="auto"/>
        <w:ind w:firstLine="720"/>
        <w:rPr>
          <w:b/>
          <w:bCs/>
        </w:rPr>
      </w:pPr>
      <w:r>
        <w:t xml:space="preserve">However, on the other hand, regarding the </w:t>
      </w:r>
      <w:r w:rsidR="00F2264B" w:rsidRPr="00F2264B">
        <w:t>Triple Bottom Line (TBL) reporting expands the scope to incorporate financial, social, and environmental performance—often referred to as the “people, planet, profit” framework. I</w:t>
      </w:r>
      <w:r>
        <w:t xml:space="preserve">t also tends to </w:t>
      </w:r>
      <w:proofErr w:type="gramStart"/>
      <w:r>
        <w:t>includes</w:t>
      </w:r>
      <w:proofErr w:type="gramEnd"/>
      <w:r>
        <w:t xml:space="preserve"> the </w:t>
      </w:r>
      <w:r w:rsidR="00F2264B" w:rsidRPr="00F2264B">
        <w:t>standard financial results, TBL includes indicators such as employee well-being, community engagement, carbon emissions, resource efficiency, and waste management</w:t>
      </w:r>
      <w:r w:rsidR="007F553C">
        <w:t xml:space="preserve"> </w:t>
      </w:r>
      <w:r w:rsidR="007F553C" w:rsidRPr="007F553C">
        <w:t>(Zhang, Sohn, &amp; Zhang, 2025)</w:t>
      </w:r>
      <w:r w:rsidR="00F2264B" w:rsidRPr="00F2264B">
        <w:t xml:space="preserve">. </w:t>
      </w:r>
      <w:r w:rsidR="00263FEE">
        <w:t>Basically,</w:t>
      </w:r>
      <w:r>
        <w:t xml:space="preserve"> </w:t>
      </w:r>
      <w:r>
        <w:lastRenderedPageBreak/>
        <w:t>this</w:t>
      </w:r>
      <w:r w:rsidR="00F2264B" w:rsidRPr="00F2264B">
        <w:t xml:space="preserve"> multidimensional approach is designed for a broader audience, including not only investors and regulators but also employees, customers, communities, and sustainability-focused stakeholders</w:t>
      </w:r>
      <w:r w:rsidR="007F553C">
        <w:t xml:space="preserve"> </w:t>
      </w:r>
      <w:r w:rsidR="007F553C" w:rsidRPr="007F553C">
        <w:t>(</w:t>
      </w:r>
      <w:proofErr w:type="spellStart"/>
      <w:r w:rsidR="007F553C" w:rsidRPr="007F553C">
        <w:t>Megeid</w:t>
      </w:r>
      <w:proofErr w:type="spellEnd"/>
      <w:r w:rsidR="007F553C" w:rsidRPr="007F553C">
        <w:t>, 2024)</w:t>
      </w:r>
      <w:r w:rsidR="00F2264B" w:rsidRPr="00F2264B">
        <w:t xml:space="preserve">. </w:t>
      </w:r>
      <w:r>
        <w:t xml:space="preserve">One of the major </w:t>
      </w:r>
      <w:r w:rsidR="00263FEE" w:rsidRPr="00F2264B">
        <w:t>scopes</w:t>
      </w:r>
      <w:r w:rsidR="00F2264B" w:rsidRPr="00F2264B">
        <w:t xml:space="preserve"> of analysis moves beyond short-term results, emphasizing the company’s overall impact and resilience in a changing economic, social, and environmental context.</w:t>
      </w:r>
    </w:p>
    <w:p w14:paraId="3D8829B9" w14:textId="0FAA2F42" w:rsidR="00F2264B" w:rsidRPr="00835D81" w:rsidRDefault="00F2264B" w:rsidP="00F2264B">
      <w:pPr>
        <w:spacing w:line="480" w:lineRule="auto"/>
      </w:pPr>
    </w:p>
    <w:p w14:paraId="332EEA57" w14:textId="77777777" w:rsidR="00964FF8" w:rsidRDefault="00964FF8" w:rsidP="00964FF8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t>Decision-Making</w:t>
      </w:r>
    </w:p>
    <w:p w14:paraId="741FBDB4" w14:textId="3D7F187E" w:rsidR="00F2264B" w:rsidRPr="00F2264B" w:rsidRDefault="00F2264B" w:rsidP="00F2264B">
      <w:pPr>
        <w:spacing w:line="480" w:lineRule="auto"/>
      </w:pPr>
      <w:r w:rsidRPr="00F2264B">
        <w:tab/>
      </w:r>
      <w:r w:rsidR="006C2B3E">
        <w:t xml:space="preserve">It tends to be </w:t>
      </w:r>
      <w:proofErr w:type="spellStart"/>
      <w:r w:rsidR="006C2B3E">
        <w:t>analysed</w:t>
      </w:r>
      <w:proofErr w:type="spellEnd"/>
      <w:r w:rsidR="006C2B3E">
        <w:t xml:space="preserve"> from </w:t>
      </w:r>
      <w:r w:rsidR="00263FEE">
        <w:t>recent</w:t>
      </w:r>
      <w:r w:rsidR="006C2B3E">
        <w:t xml:space="preserve"> research that the </w:t>
      </w:r>
      <w:r w:rsidRPr="00F2264B">
        <w:t xml:space="preserve">Triple Bottom Line (TBL) reporting enables stakeholders to make more informed decisions by providing a broader, multidimensional perspective on a company’s performance that goes beyond </w:t>
      </w:r>
      <w:r w:rsidR="007F553C" w:rsidRPr="00F2264B">
        <w:t>pure</w:t>
      </w:r>
      <w:r w:rsidRPr="00F2264B">
        <w:t xml:space="preserve"> financial results. </w:t>
      </w:r>
      <w:r w:rsidR="006C2B3E">
        <w:t xml:space="preserve">It is important to understand that </w:t>
      </w:r>
      <w:r w:rsidRPr="00F2264B">
        <w:t>traditional reporting focuses on short-term profitability and liquidity, TBL incorporates social and environmental metrics—such as workforce well-being, community engagement, resource efficiency, and environmental impact—offering a more comprehensive picture of operational sustainability</w:t>
      </w:r>
      <w:r w:rsidR="007F553C">
        <w:t xml:space="preserve"> </w:t>
      </w:r>
      <w:r w:rsidR="007F553C" w:rsidRPr="007F553C">
        <w:t>(Ashraf, Choudhary, &amp; Jaggi, 2024)</w:t>
      </w:r>
      <w:r w:rsidRPr="00F2264B">
        <w:t>.</w:t>
      </w:r>
    </w:p>
    <w:p w14:paraId="78676455" w14:textId="2CC204C4" w:rsidR="00F2264B" w:rsidRPr="00F2264B" w:rsidRDefault="006C2B3E" w:rsidP="00F2264B">
      <w:pPr>
        <w:spacing w:line="480" w:lineRule="auto"/>
        <w:ind w:firstLine="720"/>
        <w:rPr>
          <w:b/>
          <w:bCs/>
        </w:rPr>
      </w:pPr>
      <w:r>
        <w:t xml:space="preserve">As per the </w:t>
      </w:r>
      <w:r w:rsidR="00F2264B" w:rsidRPr="00F2264B">
        <w:t xml:space="preserve">managers, TBL reporting identifies cost-saving opportunities and risk areas that traditional reports may overlook, such as inefficiencies in energy use, waste management, or employee turnover. </w:t>
      </w:r>
      <w:r>
        <w:t>According to the i</w:t>
      </w:r>
      <w:r w:rsidR="00F2264B" w:rsidRPr="00F2264B">
        <w:t xml:space="preserve">nvestors </w:t>
      </w:r>
      <w:r>
        <w:t xml:space="preserve">which </w:t>
      </w:r>
      <w:r w:rsidR="00F2264B" w:rsidRPr="00F2264B">
        <w:t xml:space="preserve">benefit from improved risk </w:t>
      </w:r>
      <w:r w:rsidR="00263FEE" w:rsidRPr="00F2264B">
        <w:t>assessment,</w:t>
      </w:r>
      <w:r w:rsidR="00F2264B" w:rsidRPr="00F2264B">
        <w:t xml:space="preserve"> TBL highlights environmental, social, and governance (ESG) factors that could affect long-term returns, reputation, and regulatory compliance</w:t>
      </w:r>
      <w:r w:rsidR="007F553C">
        <w:t xml:space="preserve"> </w:t>
      </w:r>
      <w:r w:rsidR="007F553C" w:rsidRPr="007F553C">
        <w:t>(</w:t>
      </w:r>
      <w:proofErr w:type="spellStart"/>
      <w:r w:rsidR="007F553C" w:rsidRPr="007F553C">
        <w:t>Festing</w:t>
      </w:r>
      <w:proofErr w:type="spellEnd"/>
      <w:r w:rsidR="007F553C" w:rsidRPr="007F553C">
        <w:t xml:space="preserve"> et al., 2025)</w:t>
      </w:r>
      <w:r w:rsidR="00F2264B" w:rsidRPr="00F2264B">
        <w:t xml:space="preserve">. </w:t>
      </w:r>
      <w:r>
        <w:t xml:space="preserve">However, it </w:t>
      </w:r>
      <w:r w:rsidR="00263FEE">
        <w:t>is also</w:t>
      </w:r>
      <w:r>
        <w:t xml:space="preserve"> important to mention that the </w:t>
      </w:r>
      <w:r w:rsidR="00F2264B" w:rsidRPr="00F2264B">
        <w:t xml:space="preserve">ESG integration has been shown to reduce investment volatility and improve resilience to market shocks. </w:t>
      </w:r>
      <w:r>
        <w:t>In this regard, e</w:t>
      </w:r>
      <w:r w:rsidR="00F2264B" w:rsidRPr="00F2264B">
        <w:t>mployees gain insight into the company’s commitment to social responsibility and ethical practices, which can improve job satisfaction, retention, and productivity</w:t>
      </w:r>
      <w:r w:rsidR="007F553C">
        <w:t xml:space="preserve"> </w:t>
      </w:r>
      <w:r w:rsidR="007F553C" w:rsidRPr="007F553C">
        <w:t>(</w:t>
      </w:r>
      <w:proofErr w:type="spellStart"/>
      <w:r w:rsidR="007F553C" w:rsidRPr="007F553C">
        <w:t>Megeid</w:t>
      </w:r>
      <w:proofErr w:type="spellEnd"/>
      <w:r w:rsidR="007F553C" w:rsidRPr="007F553C">
        <w:t>, 2024)</w:t>
      </w:r>
      <w:r w:rsidR="00F2264B" w:rsidRPr="00F2264B">
        <w:t>.</w:t>
      </w:r>
    </w:p>
    <w:p w14:paraId="3A5B4A1D" w14:textId="318102EC" w:rsidR="00F2264B" w:rsidRPr="00835D81" w:rsidRDefault="00F2264B" w:rsidP="00F2264B">
      <w:pPr>
        <w:spacing w:line="480" w:lineRule="auto"/>
      </w:pPr>
    </w:p>
    <w:p w14:paraId="2FE1055A" w14:textId="77777777" w:rsidR="00964FF8" w:rsidRDefault="00964FF8" w:rsidP="00964FF8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t>Long-Term Impact</w:t>
      </w:r>
    </w:p>
    <w:p w14:paraId="0E63A013" w14:textId="195B453C" w:rsidR="00F2264B" w:rsidRPr="00F2264B" w:rsidRDefault="00F2264B" w:rsidP="00F2264B">
      <w:pPr>
        <w:spacing w:line="480" w:lineRule="auto"/>
      </w:pPr>
      <w:r w:rsidRPr="00F2264B">
        <w:tab/>
      </w:r>
      <w:r w:rsidR="006C2B3E">
        <w:t xml:space="preserve">It also tends to </w:t>
      </w:r>
      <w:r w:rsidR="00263FEE">
        <w:t>indicate</w:t>
      </w:r>
      <w:r w:rsidR="006C2B3E">
        <w:t xml:space="preserve"> that the </w:t>
      </w:r>
      <w:r w:rsidRPr="00F2264B">
        <w:t xml:space="preserve">Triple Bottom Line (TBL) reporting provides a more comprehensive view of a business’s long-term sustainability and overall performance by integrating financial, social, and environmental dimensions into its assessment framework. </w:t>
      </w:r>
      <w:r w:rsidR="006C2B3E">
        <w:t xml:space="preserve">According to the </w:t>
      </w:r>
      <w:r w:rsidRPr="00F2264B">
        <w:t xml:space="preserve">traditional reporting, which concentrates on short-term financial results, TBL evaluates how a company’s activities affect natural resources, societal well-being, and future operational capacity. </w:t>
      </w:r>
      <w:r w:rsidR="006C2B3E">
        <w:t>Based on t</w:t>
      </w:r>
      <w:r w:rsidRPr="00F2264B">
        <w:t xml:space="preserve">his holistic approach </w:t>
      </w:r>
      <w:r w:rsidR="006C2B3E">
        <w:t xml:space="preserve">which ultimately </w:t>
      </w:r>
      <w:r w:rsidRPr="00F2264B">
        <w:t>enables organizations to identify and mitigate long-term risks—such as climate change impacts, resource scarcity, and community opposition—that may not be visible in standard financial statements</w:t>
      </w:r>
      <w:r w:rsidR="007F553C">
        <w:t xml:space="preserve"> </w:t>
      </w:r>
      <w:r w:rsidR="007F553C" w:rsidRPr="007F553C">
        <w:t>(</w:t>
      </w:r>
      <w:proofErr w:type="spellStart"/>
      <w:r w:rsidR="007F553C" w:rsidRPr="007F553C">
        <w:t>Megeid</w:t>
      </w:r>
      <w:proofErr w:type="spellEnd"/>
      <w:r w:rsidR="007F553C" w:rsidRPr="007F553C">
        <w:t>, 2024)</w:t>
      </w:r>
      <w:r w:rsidRPr="00F2264B">
        <w:t>.</w:t>
      </w:r>
    </w:p>
    <w:p w14:paraId="371E1332" w14:textId="3AACC637" w:rsidR="00F2264B" w:rsidRPr="00F2264B" w:rsidRDefault="006C2B3E" w:rsidP="00F2264B">
      <w:pPr>
        <w:spacing w:line="480" w:lineRule="auto"/>
        <w:ind w:firstLine="720"/>
        <w:rPr>
          <w:b/>
          <w:bCs/>
        </w:rPr>
      </w:pPr>
      <w:r>
        <w:t xml:space="preserve">As per the </w:t>
      </w:r>
      <w:r w:rsidR="00F2264B" w:rsidRPr="00F2264B">
        <w:t xml:space="preserve">sustainability perspective, TBL </w:t>
      </w:r>
      <w:r w:rsidR="00FE67CC" w:rsidRPr="00F2264B">
        <w:t>tracking</w:t>
      </w:r>
      <w:r w:rsidR="00F2264B" w:rsidRPr="00F2264B">
        <w:t xml:space="preserve"> carbon emissions, waste reduction, and energy efficiency reveals whether a company is building resilience against environmental regulations and supply chain disruptions</w:t>
      </w:r>
      <w:r w:rsidR="007F553C">
        <w:t xml:space="preserve"> </w:t>
      </w:r>
      <w:r w:rsidR="007F553C" w:rsidRPr="007F553C">
        <w:t>(</w:t>
      </w:r>
      <w:proofErr w:type="spellStart"/>
      <w:r w:rsidR="007F553C" w:rsidRPr="007F553C">
        <w:t>Festing</w:t>
      </w:r>
      <w:proofErr w:type="spellEnd"/>
      <w:r w:rsidR="007F553C" w:rsidRPr="007F553C">
        <w:t xml:space="preserve"> et al., 2025)</w:t>
      </w:r>
      <w:r w:rsidR="00F2264B" w:rsidRPr="00F2264B">
        <w:t xml:space="preserve">. </w:t>
      </w:r>
      <w:r>
        <w:t xml:space="preserve">According to the </w:t>
      </w:r>
      <w:r w:rsidR="00F2264B" w:rsidRPr="00F2264B">
        <w:t xml:space="preserve">social standpoint, monitoring workforce diversity, safety, and community engagement demonstrates the organization’s ability to maintain positive stakeholder relationships, which are vital for long-term brand reputation and market access. </w:t>
      </w:r>
      <w:r>
        <w:t>In accordance with the f</w:t>
      </w:r>
      <w:r w:rsidR="00F2264B" w:rsidRPr="00F2264B">
        <w:t>inancially, integrating these non-financial indicators alongside profitability metrics helps ensure that growth strategies are aligned with ethical practices and resource stewardship, supporting enduring value creation</w:t>
      </w:r>
      <w:r w:rsidR="007F553C">
        <w:t xml:space="preserve"> </w:t>
      </w:r>
      <w:r w:rsidR="007F553C" w:rsidRPr="007F553C">
        <w:t>(Ashraf, Choudhary, &amp; Jaggi, 2024)</w:t>
      </w:r>
      <w:r w:rsidR="00F2264B" w:rsidRPr="00F2264B">
        <w:t>.</w:t>
      </w:r>
    </w:p>
    <w:p w14:paraId="4D731FDC" w14:textId="77777777" w:rsidR="00964FF8" w:rsidRDefault="00964FF8" w:rsidP="00964FF8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t>Importance of Integrating TBL</w:t>
      </w:r>
    </w:p>
    <w:p w14:paraId="06D5C254" w14:textId="2E214765" w:rsidR="00F2264B" w:rsidRDefault="00F2264B" w:rsidP="00F2264B">
      <w:pPr>
        <w:spacing w:line="480" w:lineRule="auto"/>
      </w:pPr>
      <w:r w:rsidRPr="00F2264B">
        <w:tab/>
      </w:r>
      <w:r w:rsidR="006C2B3E">
        <w:t xml:space="preserve">Nevertheless, it also </w:t>
      </w:r>
      <w:r w:rsidR="00263FEE">
        <w:t>comprises</w:t>
      </w:r>
      <w:r w:rsidR="006C2B3E">
        <w:t xml:space="preserve"> of i</w:t>
      </w:r>
      <w:r w:rsidRPr="00F2264B">
        <w:t>ntegrating Triple Bottom Line (TBL) principles into managerial decision-</w:t>
      </w:r>
      <w:r w:rsidR="004A7AC5" w:rsidRPr="00F2264B">
        <w:t>making. It</w:t>
      </w:r>
      <w:r w:rsidRPr="00F2264B">
        <w:t xml:space="preserve"> is essential for creating strategies that balance profitability with long-term environmental and social sustainability</w:t>
      </w:r>
      <w:r w:rsidR="007F553C">
        <w:t xml:space="preserve"> </w:t>
      </w:r>
      <w:r w:rsidR="007F553C" w:rsidRPr="007F553C">
        <w:t>(</w:t>
      </w:r>
      <w:proofErr w:type="spellStart"/>
      <w:r w:rsidR="007F553C" w:rsidRPr="007F553C">
        <w:t>Megeid</w:t>
      </w:r>
      <w:proofErr w:type="spellEnd"/>
      <w:r w:rsidR="007F553C" w:rsidRPr="007F553C">
        <w:t>, 2024)</w:t>
      </w:r>
      <w:r w:rsidRPr="00F2264B">
        <w:t xml:space="preserve">. </w:t>
      </w:r>
      <w:r w:rsidR="006C2B3E">
        <w:t xml:space="preserve">Based on </w:t>
      </w:r>
      <w:r w:rsidR="004A7AC5">
        <w:t>traditional</w:t>
      </w:r>
      <w:r w:rsidRPr="00F2264B">
        <w:t xml:space="preserve"> financial </w:t>
      </w:r>
      <w:r w:rsidRPr="00F2264B">
        <w:lastRenderedPageBreak/>
        <w:t xml:space="preserve">reports focus on metrics such as revenue, expenses, and asset values, which are vital for short-term operational control but often overlook non-financial factors that significantly influence a company’s resilience and reputation. </w:t>
      </w:r>
      <w:r w:rsidR="006C2B3E">
        <w:t xml:space="preserve">It also tends to discuss that the </w:t>
      </w:r>
      <w:r w:rsidRPr="00F2264B">
        <w:t>TBL reporting addresses this gap by incorporating environmental and social performance data, enabling managers to evaluate the broader consequences of their decisions.</w:t>
      </w:r>
    </w:p>
    <w:p w14:paraId="7DAA9F30" w14:textId="49A5DB5B" w:rsidR="004A7AC5" w:rsidRPr="004A7AC5" w:rsidRDefault="004A7AC5" w:rsidP="004A7AC5">
      <w:pPr>
        <w:spacing w:line="480" w:lineRule="auto"/>
      </w:pPr>
      <w:r>
        <w:tab/>
        <w:t xml:space="preserve">As per the </w:t>
      </w:r>
      <w:r w:rsidRPr="004A7AC5">
        <w:t xml:space="preserve">Integrating the Triple Bottom Line (TBL) into business strategy is essential for balancing profitability with long-term social and environmental responsibility. </w:t>
      </w:r>
      <w:r>
        <w:t>However, on the basis of that u</w:t>
      </w:r>
      <w:r w:rsidRPr="004A7AC5">
        <w:t>nlike traditional financial reporting, which focuses narrowly on revenues and expenses, TBL provides a multidimensional framework that captures how business activities affect people, planet, and profit simultaneously</w:t>
      </w:r>
      <w:r>
        <w:t xml:space="preserve"> such as b</w:t>
      </w:r>
      <w:r w:rsidRPr="004A7AC5">
        <w:t xml:space="preserve">y embedding TBL metrics, managers can evaluate operational decisions beyond short-term gains, ensuring resilience against regulatory, environmental, and reputational risks. </w:t>
      </w:r>
      <w:r>
        <w:t>Based on t</w:t>
      </w:r>
      <w:r w:rsidRPr="004A7AC5">
        <w:t xml:space="preserve">his </w:t>
      </w:r>
      <w:r w:rsidR="00A065E3" w:rsidRPr="004A7AC5">
        <w:t>integration,</w:t>
      </w:r>
      <w:r w:rsidRPr="004A7AC5">
        <w:t xml:space="preserve"> </w:t>
      </w:r>
      <w:r>
        <w:t xml:space="preserve">which </w:t>
      </w:r>
      <w:r w:rsidRPr="004A7AC5">
        <w:t>also enhances transparency, strengthens stakeholder trust, and supports innovation, ultimately positioning the organization for sustainable growth in increasingly ESG-conscious markets where ethical performance is inseparable from financial success.</w:t>
      </w:r>
    </w:p>
    <w:p w14:paraId="5A34ACA2" w14:textId="15A9E7C1" w:rsidR="004A7AC5" w:rsidRPr="00F2264B" w:rsidRDefault="004A7AC5" w:rsidP="00F2264B">
      <w:pPr>
        <w:spacing w:line="480" w:lineRule="auto"/>
      </w:pPr>
    </w:p>
    <w:p w14:paraId="34BC9E4A" w14:textId="77777777" w:rsidR="00964FF8" w:rsidRDefault="00964FF8" w:rsidP="00964FF8">
      <w:pPr>
        <w:spacing w:line="480" w:lineRule="auto"/>
        <w:jc w:val="center"/>
        <w:rPr>
          <w:b/>
          <w:bCs/>
        </w:rPr>
      </w:pPr>
      <w:r w:rsidRPr="00835D81">
        <w:rPr>
          <w:b/>
          <w:bCs/>
        </w:rPr>
        <w:t>Ethical Considerations</w:t>
      </w:r>
    </w:p>
    <w:p w14:paraId="749B8700" w14:textId="4F0C16DF" w:rsidR="00F2264B" w:rsidRDefault="00F2264B" w:rsidP="00F2264B">
      <w:pPr>
        <w:spacing w:line="480" w:lineRule="auto"/>
      </w:pPr>
      <w:r w:rsidRPr="00F2264B">
        <w:tab/>
      </w:r>
      <w:r w:rsidR="006C2B3E">
        <w:t xml:space="preserve">Based on the </w:t>
      </w:r>
      <w:r w:rsidR="00DB1CF9">
        <w:t>r</w:t>
      </w:r>
      <w:r w:rsidR="00DB1CF9" w:rsidRPr="00F2264B">
        <w:t>eporting,</w:t>
      </w:r>
      <w:r w:rsidRPr="00F2264B">
        <w:t xml:space="preserve"> </w:t>
      </w:r>
      <w:proofErr w:type="gramStart"/>
      <w:r w:rsidR="006C2B3E">
        <w:t>which</w:t>
      </w:r>
      <w:proofErr w:type="gramEnd"/>
      <w:r w:rsidR="006C2B3E">
        <w:t xml:space="preserve"> </w:t>
      </w:r>
      <w:r w:rsidRPr="00F2264B">
        <w:t xml:space="preserve">only financial performance, while ignoring social and environmental impacts, raises significant ethical concerns because it provides an incomplete and potentially misleading picture of a company’s true impact on stakeholders and society. </w:t>
      </w:r>
      <w:r w:rsidR="006C2B3E">
        <w:t>In accordance with t</w:t>
      </w:r>
      <w:r w:rsidRPr="00F2264B">
        <w:t xml:space="preserve">his narrow focus can mask harmful practices such as environmental degradation, exploitation of labor, or neglect of community welfare, allowing short-term profitability to take precedence over long-term responsibility. </w:t>
      </w:r>
      <w:r w:rsidR="006C2B3E">
        <w:t>As per the s</w:t>
      </w:r>
      <w:r w:rsidR="006B413A" w:rsidRPr="00F2264B">
        <w:t xml:space="preserve">takeholders, </w:t>
      </w:r>
      <w:r w:rsidRPr="00F2264B">
        <w:t xml:space="preserve">including </w:t>
      </w:r>
      <w:r w:rsidRPr="00F2264B">
        <w:lastRenderedPageBreak/>
        <w:t xml:space="preserve">employees, customers, and </w:t>
      </w:r>
      <w:r w:rsidR="00327F78" w:rsidRPr="00F2264B">
        <w:t>regulators,</w:t>
      </w:r>
      <w:r w:rsidRPr="00F2264B">
        <w:t xml:space="preserve"> view such omission as a lack of transparency, which can erode trust and damage a company’s reputation</w:t>
      </w:r>
      <w:r w:rsidR="007F553C">
        <w:t xml:space="preserve"> </w:t>
      </w:r>
      <w:r w:rsidR="007F553C" w:rsidRPr="007F553C">
        <w:t>(Zhang, Sohn, &amp; Zhang, 2025)</w:t>
      </w:r>
      <w:r w:rsidRPr="00F2264B">
        <w:t>.</w:t>
      </w:r>
    </w:p>
    <w:p w14:paraId="6D82C4E2" w14:textId="13C37FEF" w:rsidR="00327F78" w:rsidRPr="00327F78" w:rsidRDefault="00327F78" w:rsidP="00327F78">
      <w:pPr>
        <w:spacing w:line="480" w:lineRule="auto"/>
      </w:pPr>
      <w:r>
        <w:tab/>
        <w:t>According to the e</w:t>
      </w:r>
      <w:r w:rsidRPr="00327F78">
        <w:t xml:space="preserve">thical considerations in reporting are critical because focusing only on financial outcomes while ignoring social and environmental impacts creates an incomplete and potentially misleading picture of corporate performance. </w:t>
      </w:r>
      <w:r>
        <w:t xml:space="preserve">It tends to </w:t>
      </w:r>
      <w:proofErr w:type="spellStart"/>
      <w:proofErr w:type="gramStart"/>
      <w:r>
        <w:t>analysed</w:t>
      </w:r>
      <w:proofErr w:type="spellEnd"/>
      <w:proofErr w:type="gramEnd"/>
      <w:r>
        <w:t xml:space="preserve"> that s</w:t>
      </w:r>
      <w:r w:rsidRPr="00327F78">
        <w:t xml:space="preserve">uch narrow disclosure may conceal harmful practices, including labor exploitation, environmental degradation, or neglect of community welfare, allowing short-term profits to overshadow long-term responsibilities. </w:t>
      </w:r>
      <w:r>
        <w:t>Based on t</w:t>
      </w:r>
      <w:r w:rsidRPr="00327F78">
        <w:t xml:space="preserve">his lack of transparency undermines stakeholder trust and can damage reputation, regulatory compliance, and market access. </w:t>
      </w:r>
      <w:r>
        <w:t xml:space="preserve">However, on the other hand, regarding the </w:t>
      </w:r>
      <w:r w:rsidRPr="00327F78">
        <w:t xml:space="preserve">Integrating Triple Bottom Line (TBL) principles </w:t>
      </w:r>
      <w:proofErr w:type="gramStart"/>
      <w:r w:rsidRPr="00327F78">
        <w:t>ensures</w:t>
      </w:r>
      <w:proofErr w:type="gramEnd"/>
      <w:r w:rsidRPr="00327F78">
        <w:t xml:space="preserve"> that ethical obligations are met by disclosing how decisions affect employees, communities, and ecosystems, thereby promoting accountability, fairness, and sustainable stakeholder relationships.</w:t>
      </w:r>
    </w:p>
    <w:p w14:paraId="3F95F974" w14:textId="4CC81287" w:rsidR="00327F78" w:rsidRPr="00F2264B" w:rsidRDefault="00327F78" w:rsidP="00F2264B">
      <w:pPr>
        <w:spacing w:line="480" w:lineRule="auto"/>
      </w:pPr>
    </w:p>
    <w:p w14:paraId="0BC2C2AD" w14:textId="77777777" w:rsidR="00964FF8" w:rsidRDefault="00964FF8" w:rsidP="00964FF8">
      <w:pPr>
        <w:spacing w:line="480" w:lineRule="auto"/>
        <w:jc w:val="center"/>
        <w:rPr>
          <w:rFonts w:eastAsia="Calibri"/>
          <w:b/>
          <w:bCs/>
        </w:rPr>
      </w:pPr>
      <w:r w:rsidRPr="00835D81">
        <w:rPr>
          <w:rFonts w:eastAsia="Calibri"/>
          <w:b/>
          <w:bCs/>
        </w:rPr>
        <w:t>5-Year Comparative Analysis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0"/>
        <w:gridCol w:w="1193"/>
        <w:gridCol w:w="2064"/>
        <w:gridCol w:w="1339"/>
        <w:gridCol w:w="2246"/>
        <w:gridCol w:w="1518"/>
      </w:tblGrid>
      <w:tr w:rsidR="00573F97" w:rsidRPr="00573F97" w14:paraId="1F0BAD4C" w14:textId="77777777" w:rsidTr="00573F97">
        <w:tc>
          <w:tcPr>
            <w:tcW w:w="529" w:type="pct"/>
            <w:hideMark/>
          </w:tcPr>
          <w:p w14:paraId="03C8F89E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Year</w:t>
            </w:r>
          </w:p>
        </w:tc>
        <w:tc>
          <w:tcPr>
            <w:tcW w:w="638" w:type="pct"/>
            <w:hideMark/>
          </w:tcPr>
          <w:p w14:paraId="4FF68829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Revenue</w:t>
            </w:r>
          </w:p>
        </w:tc>
        <w:tc>
          <w:tcPr>
            <w:tcW w:w="1104" w:type="pct"/>
            <w:hideMark/>
          </w:tcPr>
          <w:p w14:paraId="3FD260AA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Operating Profit</w:t>
            </w:r>
          </w:p>
        </w:tc>
        <w:tc>
          <w:tcPr>
            <w:tcW w:w="716" w:type="pct"/>
            <w:hideMark/>
          </w:tcPr>
          <w:p w14:paraId="04D33673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Net Profit</w:t>
            </w:r>
          </w:p>
        </w:tc>
        <w:tc>
          <w:tcPr>
            <w:tcW w:w="1201" w:type="pct"/>
            <w:hideMark/>
          </w:tcPr>
          <w:p w14:paraId="35DC8157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Operating Margin</w:t>
            </w:r>
          </w:p>
        </w:tc>
        <w:tc>
          <w:tcPr>
            <w:tcW w:w="813" w:type="pct"/>
            <w:hideMark/>
          </w:tcPr>
          <w:p w14:paraId="675ABCD9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Net Margin</w:t>
            </w:r>
          </w:p>
        </w:tc>
      </w:tr>
      <w:tr w:rsidR="00573F97" w:rsidRPr="00573F97" w14:paraId="24B4E5D3" w14:textId="77777777" w:rsidTr="00573F97">
        <w:tc>
          <w:tcPr>
            <w:tcW w:w="529" w:type="pct"/>
            <w:hideMark/>
          </w:tcPr>
          <w:p w14:paraId="1E03F5A2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Year 1</w:t>
            </w:r>
          </w:p>
        </w:tc>
        <w:tc>
          <w:tcPr>
            <w:tcW w:w="638" w:type="pct"/>
            <w:hideMark/>
          </w:tcPr>
          <w:p w14:paraId="18F30419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250.0</w:t>
            </w:r>
          </w:p>
        </w:tc>
        <w:tc>
          <w:tcPr>
            <w:tcW w:w="1104" w:type="pct"/>
            <w:hideMark/>
          </w:tcPr>
          <w:p w14:paraId="3DF0E80F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42.5</w:t>
            </w:r>
          </w:p>
        </w:tc>
        <w:tc>
          <w:tcPr>
            <w:tcW w:w="716" w:type="pct"/>
            <w:hideMark/>
          </w:tcPr>
          <w:p w14:paraId="5E034B08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28.0</w:t>
            </w:r>
          </w:p>
        </w:tc>
        <w:tc>
          <w:tcPr>
            <w:tcW w:w="1201" w:type="pct"/>
            <w:hideMark/>
          </w:tcPr>
          <w:p w14:paraId="3F626BF7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17.0%</w:t>
            </w:r>
          </w:p>
        </w:tc>
        <w:tc>
          <w:tcPr>
            <w:tcW w:w="813" w:type="pct"/>
            <w:hideMark/>
          </w:tcPr>
          <w:p w14:paraId="3DD4B873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11.2%</w:t>
            </w:r>
          </w:p>
        </w:tc>
      </w:tr>
      <w:tr w:rsidR="00573F97" w:rsidRPr="00573F97" w14:paraId="50BD2D70" w14:textId="77777777" w:rsidTr="00573F97">
        <w:tc>
          <w:tcPr>
            <w:tcW w:w="529" w:type="pct"/>
            <w:hideMark/>
          </w:tcPr>
          <w:p w14:paraId="4AE1A585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Year 2</w:t>
            </w:r>
          </w:p>
        </w:tc>
        <w:tc>
          <w:tcPr>
            <w:tcW w:w="638" w:type="pct"/>
            <w:hideMark/>
          </w:tcPr>
          <w:p w14:paraId="4D97BF4D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265.0</w:t>
            </w:r>
          </w:p>
        </w:tc>
        <w:tc>
          <w:tcPr>
            <w:tcW w:w="1104" w:type="pct"/>
            <w:hideMark/>
          </w:tcPr>
          <w:p w14:paraId="5192BA99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44.0</w:t>
            </w:r>
          </w:p>
        </w:tc>
        <w:tc>
          <w:tcPr>
            <w:tcW w:w="716" w:type="pct"/>
            <w:hideMark/>
          </w:tcPr>
          <w:p w14:paraId="050D6052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30.5</w:t>
            </w:r>
          </w:p>
        </w:tc>
        <w:tc>
          <w:tcPr>
            <w:tcW w:w="1201" w:type="pct"/>
            <w:hideMark/>
          </w:tcPr>
          <w:p w14:paraId="6D34CA01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16.6%</w:t>
            </w:r>
          </w:p>
        </w:tc>
        <w:tc>
          <w:tcPr>
            <w:tcW w:w="813" w:type="pct"/>
            <w:hideMark/>
          </w:tcPr>
          <w:p w14:paraId="1D368C9D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11.5%</w:t>
            </w:r>
          </w:p>
        </w:tc>
      </w:tr>
      <w:tr w:rsidR="00573F97" w:rsidRPr="00573F97" w14:paraId="4F3AC607" w14:textId="77777777" w:rsidTr="00573F97">
        <w:tc>
          <w:tcPr>
            <w:tcW w:w="529" w:type="pct"/>
            <w:hideMark/>
          </w:tcPr>
          <w:p w14:paraId="048509B1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Year 3</w:t>
            </w:r>
          </w:p>
        </w:tc>
        <w:tc>
          <w:tcPr>
            <w:tcW w:w="638" w:type="pct"/>
            <w:hideMark/>
          </w:tcPr>
          <w:p w14:paraId="7ED18345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285.0</w:t>
            </w:r>
          </w:p>
        </w:tc>
        <w:tc>
          <w:tcPr>
            <w:tcW w:w="1104" w:type="pct"/>
            <w:hideMark/>
          </w:tcPr>
          <w:p w14:paraId="46A5E235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49.5</w:t>
            </w:r>
          </w:p>
        </w:tc>
        <w:tc>
          <w:tcPr>
            <w:tcW w:w="716" w:type="pct"/>
            <w:hideMark/>
          </w:tcPr>
          <w:p w14:paraId="64E3D3B5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33.0</w:t>
            </w:r>
          </w:p>
        </w:tc>
        <w:tc>
          <w:tcPr>
            <w:tcW w:w="1201" w:type="pct"/>
            <w:hideMark/>
          </w:tcPr>
          <w:p w14:paraId="133DB966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17.4%</w:t>
            </w:r>
          </w:p>
        </w:tc>
        <w:tc>
          <w:tcPr>
            <w:tcW w:w="813" w:type="pct"/>
            <w:hideMark/>
          </w:tcPr>
          <w:p w14:paraId="41FE2E15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11.6%</w:t>
            </w:r>
          </w:p>
        </w:tc>
      </w:tr>
      <w:tr w:rsidR="00573F97" w:rsidRPr="00573F97" w14:paraId="38496042" w14:textId="77777777" w:rsidTr="00573F97">
        <w:tc>
          <w:tcPr>
            <w:tcW w:w="529" w:type="pct"/>
            <w:hideMark/>
          </w:tcPr>
          <w:p w14:paraId="1CCBD1B0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Year 4</w:t>
            </w:r>
          </w:p>
        </w:tc>
        <w:tc>
          <w:tcPr>
            <w:tcW w:w="638" w:type="pct"/>
            <w:hideMark/>
          </w:tcPr>
          <w:p w14:paraId="523809EE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300.0</w:t>
            </w:r>
          </w:p>
        </w:tc>
        <w:tc>
          <w:tcPr>
            <w:tcW w:w="1104" w:type="pct"/>
            <w:hideMark/>
          </w:tcPr>
          <w:p w14:paraId="4AE1C3C1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45.0</w:t>
            </w:r>
          </w:p>
        </w:tc>
        <w:tc>
          <w:tcPr>
            <w:tcW w:w="716" w:type="pct"/>
            <w:hideMark/>
          </w:tcPr>
          <w:p w14:paraId="521FAA37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27.5</w:t>
            </w:r>
          </w:p>
        </w:tc>
        <w:tc>
          <w:tcPr>
            <w:tcW w:w="1201" w:type="pct"/>
            <w:hideMark/>
          </w:tcPr>
          <w:p w14:paraId="23D1D76D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15.0%</w:t>
            </w:r>
          </w:p>
        </w:tc>
        <w:tc>
          <w:tcPr>
            <w:tcW w:w="813" w:type="pct"/>
            <w:hideMark/>
          </w:tcPr>
          <w:p w14:paraId="44422319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9.2%</w:t>
            </w:r>
          </w:p>
        </w:tc>
      </w:tr>
      <w:tr w:rsidR="00573F97" w:rsidRPr="00573F97" w14:paraId="28247C27" w14:textId="77777777" w:rsidTr="00573F97">
        <w:tc>
          <w:tcPr>
            <w:tcW w:w="529" w:type="pct"/>
            <w:hideMark/>
          </w:tcPr>
          <w:p w14:paraId="71FE8636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Year 5</w:t>
            </w:r>
          </w:p>
        </w:tc>
        <w:tc>
          <w:tcPr>
            <w:tcW w:w="638" w:type="pct"/>
            <w:hideMark/>
          </w:tcPr>
          <w:p w14:paraId="4C6FB556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335.0</w:t>
            </w:r>
          </w:p>
        </w:tc>
        <w:tc>
          <w:tcPr>
            <w:tcW w:w="1104" w:type="pct"/>
            <w:hideMark/>
          </w:tcPr>
          <w:p w14:paraId="748C777C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56.0</w:t>
            </w:r>
          </w:p>
        </w:tc>
        <w:tc>
          <w:tcPr>
            <w:tcW w:w="716" w:type="pct"/>
            <w:hideMark/>
          </w:tcPr>
          <w:p w14:paraId="4BD0C8AE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38.0</w:t>
            </w:r>
          </w:p>
        </w:tc>
        <w:tc>
          <w:tcPr>
            <w:tcW w:w="1201" w:type="pct"/>
            <w:hideMark/>
          </w:tcPr>
          <w:p w14:paraId="23AFA623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16.7%</w:t>
            </w:r>
          </w:p>
        </w:tc>
        <w:tc>
          <w:tcPr>
            <w:tcW w:w="813" w:type="pct"/>
            <w:hideMark/>
          </w:tcPr>
          <w:p w14:paraId="248547E9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11.3%</w:t>
            </w:r>
          </w:p>
        </w:tc>
      </w:tr>
    </w:tbl>
    <w:p w14:paraId="1D49B898" w14:textId="2EAB6E6E" w:rsidR="00F2264B" w:rsidRDefault="00F2264B" w:rsidP="00573F97">
      <w:pPr>
        <w:spacing w:line="480" w:lineRule="auto"/>
        <w:rPr>
          <w:rFonts w:eastAsia="Calibri"/>
          <w:b/>
          <w:bCs/>
        </w:rPr>
      </w:pPr>
    </w:p>
    <w:p w14:paraId="5F1B17A1" w14:textId="15FC56D8" w:rsidR="00327F78" w:rsidRDefault="00327F78" w:rsidP="00573F97">
      <w:pPr>
        <w:spacing w:line="480" w:lineRule="auto"/>
        <w:rPr>
          <w:rFonts w:eastAsia="Calibri"/>
          <w:b/>
          <w:bCs/>
        </w:rPr>
      </w:pPr>
      <w:r>
        <w:rPr>
          <w:rFonts w:eastAsia="Calibri"/>
          <w:b/>
          <w:bCs/>
          <w:noProof/>
        </w:rPr>
        <w:lastRenderedPageBreak/>
        <w:drawing>
          <wp:inline distT="0" distB="0" distL="0" distR="0" wp14:anchorId="0C9C6561" wp14:editId="0A43E5D4">
            <wp:extent cx="5943600" cy="3542030"/>
            <wp:effectExtent l="0" t="0" r="0" b="1270"/>
            <wp:docPr id="370786509" name="Picture 2" descr="A graph of a perform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86509" name="Picture 2" descr="A graph of a performanc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82E64" w14:textId="0A468397" w:rsidR="00F2264B" w:rsidRPr="00835D81" w:rsidRDefault="00573F97" w:rsidP="00573F97">
      <w:pPr>
        <w:spacing w:line="480" w:lineRule="auto"/>
        <w:ind w:firstLine="720"/>
        <w:rPr>
          <w:rFonts w:eastAsia="Calibri"/>
        </w:rPr>
      </w:pPr>
      <w:r>
        <w:rPr>
          <w:rFonts w:eastAsia="Calibri"/>
        </w:rPr>
        <w:t xml:space="preserve">As per the </w:t>
      </w:r>
      <w:r w:rsidRPr="00573F97">
        <w:rPr>
          <w:rFonts w:eastAsia="Calibri"/>
        </w:rPr>
        <w:t>company’s financial performance over the five-year period demonstrates consistent top-line growth, with revenue increasing from $250.0 million in Year 1 to $335.0 million in Year 5</w:t>
      </w:r>
      <w:r>
        <w:rPr>
          <w:rFonts w:eastAsia="Calibri"/>
        </w:rPr>
        <w:t xml:space="preserve"> and t</w:t>
      </w:r>
      <w:r w:rsidRPr="00573F97">
        <w:rPr>
          <w:rFonts w:eastAsia="Calibri"/>
        </w:rPr>
        <w:t>his represents a compound annual growth rate (CAGR) of approximately 7.6%, which is healthy for a business operating in a competitive market</w:t>
      </w:r>
      <w:r w:rsidR="007F553C">
        <w:rPr>
          <w:rFonts w:eastAsia="Calibri"/>
        </w:rPr>
        <w:t xml:space="preserve"> </w:t>
      </w:r>
      <w:r w:rsidR="007F553C" w:rsidRPr="007F553C">
        <w:rPr>
          <w:rFonts w:eastAsia="Calibri"/>
        </w:rPr>
        <w:t>(Zhang, Sohn, &amp; Zhang, 2025)</w:t>
      </w:r>
      <w:r w:rsidRPr="00573F97">
        <w:rPr>
          <w:rFonts w:eastAsia="Calibri"/>
        </w:rPr>
        <w:t xml:space="preserve">. </w:t>
      </w:r>
      <w:r>
        <w:rPr>
          <w:rFonts w:eastAsia="Calibri"/>
        </w:rPr>
        <w:t>Based on the g</w:t>
      </w:r>
      <w:r w:rsidRPr="00573F97">
        <w:rPr>
          <w:rFonts w:eastAsia="Calibri"/>
        </w:rPr>
        <w:t xml:space="preserve">rowth </w:t>
      </w:r>
      <w:r>
        <w:rPr>
          <w:rFonts w:eastAsia="Calibri"/>
        </w:rPr>
        <w:t xml:space="preserve">which </w:t>
      </w:r>
      <w:r w:rsidRPr="00573F97">
        <w:rPr>
          <w:rFonts w:eastAsia="Calibri"/>
        </w:rPr>
        <w:t>was steady in Years 1–3, with a sharper rise in Year 5, likely driven by expanded market reach, product innovation, or strategic pricing adjustments</w:t>
      </w:r>
      <w:r w:rsidR="007F553C">
        <w:rPr>
          <w:rFonts w:eastAsia="Calibri"/>
        </w:rPr>
        <w:t xml:space="preserve"> </w:t>
      </w:r>
      <w:r w:rsidR="007F553C" w:rsidRPr="007F553C">
        <w:rPr>
          <w:rFonts w:eastAsia="Calibri"/>
        </w:rPr>
        <w:t>(</w:t>
      </w:r>
      <w:proofErr w:type="spellStart"/>
      <w:r w:rsidR="007F553C" w:rsidRPr="007F553C">
        <w:rPr>
          <w:rFonts w:eastAsia="Calibri"/>
        </w:rPr>
        <w:t>Festing</w:t>
      </w:r>
      <w:proofErr w:type="spellEnd"/>
      <w:r w:rsidR="007F553C" w:rsidRPr="007F553C">
        <w:rPr>
          <w:rFonts w:eastAsia="Calibri"/>
        </w:rPr>
        <w:t xml:space="preserve"> et al., 2025)</w:t>
      </w:r>
      <w:r w:rsidRPr="00573F97">
        <w:rPr>
          <w:rFonts w:eastAsia="Calibri"/>
        </w:rPr>
        <w:t>.</w:t>
      </w:r>
      <w:r>
        <w:rPr>
          <w:rFonts w:eastAsia="Calibri"/>
        </w:rPr>
        <w:t xml:space="preserve"> On the basis of o</w:t>
      </w:r>
      <w:r w:rsidRPr="00573F97">
        <w:rPr>
          <w:rFonts w:eastAsia="Calibri"/>
        </w:rPr>
        <w:t xml:space="preserve">perating profit </w:t>
      </w:r>
      <w:r>
        <w:rPr>
          <w:rFonts w:eastAsia="Calibri"/>
        </w:rPr>
        <w:t xml:space="preserve">which </w:t>
      </w:r>
      <w:r w:rsidRPr="00573F97">
        <w:rPr>
          <w:rFonts w:eastAsia="Calibri"/>
        </w:rPr>
        <w:t xml:space="preserve">followed a generally positive trend, rising from $42.5 million in Year 1 to $56.0 million in Year 5, except for a temporary dip in Year 4. </w:t>
      </w:r>
      <w:r>
        <w:rPr>
          <w:rFonts w:eastAsia="Calibri"/>
        </w:rPr>
        <w:t xml:space="preserve">In this regard, it tends to </w:t>
      </w:r>
      <w:r w:rsidRPr="00573F97">
        <w:rPr>
          <w:rFonts w:eastAsia="Calibri"/>
        </w:rPr>
        <w:t>decline in Year 4 reduced the operating margin from 17.4% in Year 3 to 15.0%, suggesting higher operating costs, possibly due to increased raw material prices, supply chain disruptions, or investment in expansion projects</w:t>
      </w:r>
      <w:r w:rsidR="007F553C">
        <w:rPr>
          <w:rFonts w:eastAsia="Calibri"/>
        </w:rPr>
        <w:t xml:space="preserve"> </w:t>
      </w:r>
      <w:r w:rsidR="007F553C" w:rsidRPr="007F553C">
        <w:rPr>
          <w:rFonts w:eastAsia="Calibri"/>
        </w:rPr>
        <w:t>(Ashraf, Choudhary, &amp; Jaggi, 2024)</w:t>
      </w:r>
      <w:r w:rsidRPr="00573F97">
        <w:rPr>
          <w:rFonts w:eastAsia="Calibri"/>
        </w:rPr>
        <w:t xml:space="preserve">. </w:t>
      </w:r>
      <w:r>
        <w:rPr>
          <w:rFonts w:eastAsia="Calibri"/>
        </w:rPr>
        <w:t xml:space="preserve">According to the </w:t>
      </w:r>
      <w:r w:rsidRPr="00573F97">
        <w:rPr>
          <w:rFonts w:eastAsia="Calibri"/>
        </w:rPr>
        <w:t>recovery in Year 5 reflects successful cost-control measures and operational efficiency improvements.</w:t>
      </w:r>
      <w:r>
        <w:rPr>
          <w:rFonts w:eastAsia="Calibri"/>
        </w:rPr>
        <w:t xml:space="preserve"> It also tends to includes the n</w:t>
      </w:r>
      <w:r w:rsidRPr="00573F97">
        <w:rPr>
          <w:rFonts w:eastAsia="Calibri"/>
        </w:rPr>
        <w:t xml:space="preserve">et profit </w:t>
      </w:r>
      <w:r>
        <w:rPr>
          <w:rFonts w:eastAsia="Calibri"/>
        </w:rPr>
        <w:t xml:space="preserve">which ultimately </w:t>
      </w:r>
      <w:r w:rsidRPr="00573F97">
        <w:rPr>
          <w:rFonts w:eastAsia="Calibri"/>
        </w:rPr>
        <w:t xml:space="preserve">increased from </w:t>
      </w:r>
      <w:r w:rsidRPr="00573F97">
        <w:rPr>
          <w:rFonts w:eastAsia="Calibri"/>
        </w:rPr>
        <w:lastRenderedPageBreak/>
        <w:t>$28.0 million in Year 1 to $38.0 million in Year 5, maintaining a stable net margin around the 11% range, except in Year 4 where it dropped to 9.2%</w:t>
      </w:r>
      <w:r>
        <w:rPr>
          <w:rFonts w:eastAsia="Calibri"/>
        </w:rPr>
        <w:t xml:space="preserve"> and t</w:t>
      </w:r>
      <w:r w:rsidRPr="00573F97">
        <w:rPr>
          <w:rFonts w:eastAsia="Calibri"/>
        </w:rPr>
        <w:t>his drop aligns with the reduced operating profit in that year, indicating that both cost pressures and potential one-time expenses impacted the bottom line</w:t>
      </w:r>
      <w:r w:rsidR="007F553C">
        <w:rPr>
          <w:rFonts w:eastAsia="Calibri"/>
        </w:rPr>
        <w:t xml:space="preserve"> </w:t>
      </w:r>
      <w:r w:rsidR="007F553C" w:rsidRPr="007F553C">
        <w:rPr>
          <w:rFonts w:eastAsia="Calibri"/>
        </w:rPr>
        <w:t xml:space="preserve">(Naidu &amp; </w:t>
      </w:r>
      <w:proofErr w:type="spellStart"/>
      <w:r w:rsidR="007F553C" w:rsidRPr="007F553C">
        <w:rPr>
          <w:rFonts w:eastAsia="Calibri"/>
        </w:rPr>
        <w:t>Ranjeeni</w:t>
      </w:r>
      <w:proofErr w:type="spellEnd"/>
      <w:r w:rsidR="007F553C" w:rsidRPr="007F553C">
        <w:rPr>
          <w:rFonts w:eastAsia="Calibri"/>
        </w:rPr>
        <w:t>, 2024)</w:t>
      </w:r>
      <w:r w:rsidRPr="00573F97">
        <w:rPr>
          <w:rFonts w:eastAsia="Calibri"/>
        </w:rPr>
        <w:t>.</w:t>
      </w:r>
      <w:r>
        <w:rPr>
          <w:rFonts w:eastAsia="Calibri"/>
        </w:rPr>
        <w:t xml:space="preserve"> In accordance with the </w:t>
      </w:r>
      <w:r w:rsidRPr="00573F97">
        <w:rPr>
          <w:rFonts w:eastAsia="Calibri"/>
        </w:rPr>
        <w:t xml:space="preserve">stability of operating and net margins in most years reflects disciplined expense management and a sustainable business model. </w:t>
      </w:r>
      <w:r>
        <w:rPr>
          <w:rFonts w:eastAsia="Calibri"/>
        </w:rPr>
        <w:t>So, on the basis of that</w:t>
      </w:r>
      <w:r w:rsidRPr="00573F97">
        <w:rPr>
          <w:rFonts w:eastAsia="Calibri"/>
        </w:rPr>
        <w:t xml:space="preserve"> Year 5 rebound in both profitability metrics suggests the company has strong adaptive capabilities, able to respond quickly to operational challenges</w:t>
      </w:r>
      <w:r w:rsidR="007F553C">
        <w:rPr>
          <w:rFonts w:eastAsia="Calibri"/>
        </w:rPr>
        <w:t xml:space="preserve"> </w:t>
      </w:r>
      <w:r w:rsidR="007F553C" w:rsidRPr="007F553C">
        <w:rPr>
          <w:rFonts w:eastAsia="Calibri"/>
        </w:rPr>
        <w:t>(</w:t>
      </w:r>
      <w:proofErr w:type="spellStart"/>
      <w:r w:rsidR="007F553C" w:rsidRPr="007F553C">
        <w:rPr>
          <w:rFonts w:eastAsia="Calibri"/>
        </w:rPr>
        <w:t>Festing</w:t>
      </w:r>
      <w:proofErr w:type="spellEnd"/>
      <w:r w:rsidR="007F553C" w:rsidRPr="007F553C">
        <w:rPr>
          <w:rFonts w:eastAsia="Calibri"/>
        </w:rPr>
        <w:t xml:space="preserve"> et al., 2025)</w:t>
      </w:r>
      <w:r w:rsidRPr="00573F97">
        <w:rPr>
          <w:rFonts w:eastAsia="Calibri"/>
        </w:rPr>
        <w:t>.</w:t>
      </w:r>
    </w:p>
    <w:p w14:paraId="5CFEB798" w14:textId="77777777" w:rsidR="00964FF8" w:rsidRDefault="00964FF8" w:rsidP="00964FF8">
      <w:pPr>
        <w:spacing w:line="480" w:lineRule="auto"/>
        <w:jc w:val="center"/>
        <w:rPr>
          <w:rFonts w:eastAsia="Calibri"/>
          <w:b/>
          <w:bCs/>
        </w:rPr>
      </w:pPr>
      <w:r w:rsidRPr="00835D81">
        <w:rPr>
          <w:rFonts w:eastAsia="Calibri"/>
          <w:b/>
          <w:bCs/>
        </w:rPr>
        <w:t>Social Impact Trends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93"/>
        <w:gridCol w:w="1962"/>
        <w:gridCol w:w="2089"/>
        <w:gridCol w:w="2154"/>
        <w:gridCol w:w="2352"/>
      </w:tblGrid>
      <w:tr w:rsidR="00573F97" w:rsidRPr="00573F97" w14:paraId="1D502E04" w14:textId="77777777" w:rsidTr="00573F97">
        <w:tc>
          <w:tcPr>
            <w:tcW w:w="424" w:type="pct"/>
            <w:hideMark/>
          </w:tcPr>
          <w:p w14:paraId="6D1C1303" w14:textId="77777777" w:rsidR="00573F97" w:rsidRPr="00573F97" w:rsidRDefault="00573F97" w:rsidP="00573F97">
            <w:pPr>
              <w:spacing w:line="48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573F97">
              <w:rPr>
                <w:rFonts w:eastAsia="Calibr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049" w:type="pct"/>
            <w:hideMark/>
          </w:tcPr>
          <w:p w14:paraId="69123B7F" w14:textId="77777777" w:rsidR="00573F97" w:rsidRPr="00573F97" w:rsidRDefault="00573F97" w:rsidP="00573F97">
            <w:pPr>
              <w:spacing w:line="48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573F97">
              <w:rPr>
                <w:rFonts w:eastAsia="Calibri"/>
                <w:b/>
                <w:bCs/>
                <w:sz w:val="20"/>
                <w:szCs w:val="20"/>
              </w:rPr>
              <w:t>Employee Training</w:t>
            </w:r>
          </w:p>
        </w:tc>
        <w:tc>
          <w:tcPr>
            <w:tcW w:w="1117" w:type="pct"/>
            <w:hideMark/>
          </w:tcPr>
          <w:p w14:paraId="7B815611" w14:textId="77777777" w:rsidR="00573F97" w:rsidRPr="00573F97" w:rsidRDefault="00573F97" w:rsidP="00573F97">
            <w:pPr>
              <w:spacing w:line="48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573F97">
              <w:rPr>
                <w:rFonts w:eastAsia="Calibri"/>
                <w:b/>
                <w:bCs/>
                <w:sz w:val="20"/>
                <w:szCs w:val="20"/>
              </w:rPr>
              <w:t>Community Projects</w:t>
            </w:r>
          </w:p>
        </w:tc>
        <w:tc>
          <w:tcPr>
            <w:tcW w:w="1152" w:type="pct"/>
            <w:hideMark/>
          </w:tcPr>
          <w:p w14:paraId="2BCFCFB3" w14:textId="77777777" w:rsidR="00573F97" w:rsidRPr="00573F97" w:rsidRDefault="00573F97" w:rsidP="00573F97">
            <w:pPr>
              <w:spacing w:line="48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573F97">
              <w:rPr>
                <w:rFonts w:eastAsia="Calibri"/>
                <w:b/>
                <w:bCs/>
                <w:sz w:val="20"/>
                <w:szCs w:val="20"/>
              </w:rPr>
              <w:t>Diversity &amp; Inclusion</w:t>
            </w:r>
          </w:p>
        </w:tc>
        <w:tc>
          <w:tcPr>
            <w:tcW w:w="1258" w:type="pct"/>
            <w:hideMark/>
          </w:tcPr>
          <w:p w14:paraId="5E5FD3E0" w14:textId="77777777" w:rsidR="00573F97" w:rsidRPr="00573F97" w:rsidRDefault="00573F97" w:rsidP="00573F97">
            <w:pPr>
              <w:spacing w:line="48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573F97">
              <w:rPr>
                <w:rFonts w:eastAsia="Calibri"/>
                <w:b/>
                <w:bCs/>
                <w:sz w:val="20"/>
                <w:szCs w:val="20"/>
              </w:rPr>
              <w:t>Total Social Investment</w:t>
            </w:r>
          </w:p>
        </w:tc>
      </w:tr>
      <w:tr w:rsidR="00573F97" w:rsidRPr="00573F97" w14:paraId="2F5D62F6" w14:textId="77777777" w:rsidTr="00573F97">
        <w:tc>
          <w:tcPr>
            <w:tcW w:w="424" w:type="pct"/>
            <w:hideMark/>
          </w:tcPr>
          <w:p w14:paraId="280209AD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Year 1</w:t>
            </w:r>
          </w:p>
        </w:tc>
        <w:tc>
          <w:tcPr>
            <w:tcW w:w="1049" w:type="pct"/>
            <w:hideMark/>
          </w:tcPr>
          <w:p w14:paraId="7139EA7E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2.5</w:t>
            </w:r>
          </w:p>
        </w:tc>
        <w:tc>
          <w:tcPr>
            <w:tcW w:w="1117" w:type="pct"/>
            <w:hideMark/>
          </w:tcPr>
          <w:p w14:paraId="55E5C9E6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1.2</w:t>
            </w:r>
          </w:p>
        </w:tc>
        <w:tc>
          <w:tcPr>
            <w:tcW w:w="1152" w:type="pct"/>
            <w:hideMark/>
          </w:tcPr>
          <w:p w14:paraId="6B7F6C92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0.8</w:t>
            </w:r>
          </w:p>
        </w:tc>
        <w:tc>
          <w:tcPr>
            <w:tcW w:w="1258" w:type="pct"/>
            <w:hideMark/>
          </w:tcPr>
          <w:p w14:paraId="12750C16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4.5</w:t>
            </w:r>
          </w:p>
        </w:tc>
      </w:tr>
      <w:tr w:rsidR="00573F97" w:rsidRPr="00573F97" w14:paraId="5FB594CB" w14:textId="77777777" w:rsidTr="00573F97">
        <w:tc>
          <w:tcPr>
            <w:tcW w:w="424" w:type="pct"/>
            <w:hideMark/>
          </w:tcPr>
          <w:p w14:paraId="2CAA4F56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Year 2</w:t>
            </w:r>
          </w:p>
        </w:tc>
        <w:tc>
          <w:tcPr>
            <w:tcW w:w="1049" w:type="pct"/>
            <w:hideMark/>
          </w:tcPr>
          <w:p w14:paraId="1CB25329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3.0</w:t>
            </w:r>
          </w:p>
        </w:tc>
        <w:tc>
          <w:tcPr>
            <w:tcW w:w="1117" w:type="pct"/>
            <w:hideMark/>
          </w:tcPr>
          <w:p w14:paraId="002D193A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1.5</w:t>
            </w:r>
          </w:p>
        </w:tc>
        <w:tc>
          <w:tcPr>
            <w:tcW w:w="1152" w:type="pct"/>
            <w:hideMark/>
          </w:tcPr>
          <w:p w14:paraId="5D2D6491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1.0</w:t>
            </w:r>
          </w:p>
        </w:tc>
        <w:tc>
          <w:tcPr>
            <w:tcW w:w="1258" w:type="pct"/>
            <w:hideMark/>
          </w:tcPr>
          <w:p w14:paraId="3177E5BF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5.5</w:t>
            </w:r>
          </w:p>
        </w:tc>
      </w:tr>
      <w:tr w:rsidR="00573F97" w:rsidRPr="00573F97" w14:paraId="45D5FB9B" w14:textId="77777777" w:rsidTr="00573F97">
        <w:tc>
          <w:tcPr>
            <w:tcW w:w="424" w:type="pct"/>
            <w:hideMark/>
          </w:tcPr>
          <w:p w14:paraId="541A29BA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Year 3</w:t>
            </w:r>
          </w:p>
        </w:tc>
        <w:tc>
          <w:tcPr>
            <w:tcW w:w="1049" w:type="pct"/>
            <w:hideMark/>
          </w:tcPr>
          <w:p w14:paraId="0ABFB9B0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3.6</w:t>
            </w:r>
          </w:p>
        </w:tc>
        <w:tc>
          <w:tcPr>
            <w:tcW w:w="1117" w:type="pct"/>
            <w:hideMark/>
          </w:tcPr>
          <w:p w14:paraId="784344BD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1.8</w:t>
            </w:r>
          </w:p>
        </w:tc>
        <w:tc>
          <w:tcPr>
            <w:tcW w:w="1152" w:type="pct"/>
            <w:hideMark/>
          </w:tcPr>
          <w:p w14:paraId="47B10284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1.4</w:t>
            </w:r>
          </w:p>
        </w:tc>
        <w:tc>
          <w:tcPr>
            <w:tcW w:w="1258" w:type="pct"/>
            <w:hideMark/>
          </w:tcPr>
          <w:p w14:paraId="6CBA6588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6.8</w:t>
            </w:r>
          </w:p>
        </w:tc>
      </w:tr>
      <w:tr w:rsidR="00573F97" w:rsidRPr="00573F97" w14:paraId="4E032A10" w14:textId="77777777" w:rsidTr="00573F97">
        <w:tc>
          <w:tcPr>
            <w:tcW w:w="424" w:type="pct"/>
            <w:hideMark/>
          </w:tcPr>
          <w:p w14:paraId="3D22440C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Year 4</w:t>
            </w:r>
          </w:p>
        </w:tc>
        <w:tc>
          <w:tcPr>
            <w:tcW w:w="1049" w:type="pct"/>
            <w:hideMark/>
          </w:tcPr>
          <w:p w14:paraId="669958EC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4.0</w:t>
            </w:r>
          </w:p>
        </w:tc>
        <w:tc>
          <w:tcPr>
            <w:tcW w:w="1117" w:type="pct"/>
            <w:hideMark/>
          </w:tcPr>
          <w:p w14:paraId="23F54A66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2.1</w:t>
            </w:r>
          </w:p>
        </w:tc>
        <w:tc>
          <w:tcPr>
            <w:tcW w:w="1152" w:type="pct"/>
            <w:hideMark/>
          </w:tcPr>
          <w:p w14:paraId="1433FDC7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1.8</w:t>
            </w:r>
          </w:p>
        </w:tc>
        <w:tc>
          <w:tcPr>
            <w:tcW w:w="1258" w:type="pct"/>
            <w:hideMark/>
          </w:tcPr>
          <w:p w14:paraId="299B8327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7.9</w:t>
            </w:r>
          </w:p>
        </w:tc>
      </w:tr>
      <w:tr w:rsidR="00573F97" w:rsidRPr="00573F97" w14:paraId="6B06C9A6" w14:textId="77777777" w:rsidTr="00573F97">
        <w:tc>
          <w:tcPr>
            <w:tcW w:w="424" w:type="pct"/>
            <w:hideMark/>
          </w:tcPr>
          <w:p w14:paraId="6A7178CF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Year 5</w:t>
            </w:r>
          </w:p>
        </w:tc>
        <w:tc>
          <w:tcPr>
            <w:tcW w:w="1049" w:type="pct"/>
            <w:hideMark/>
          </w:tcPr>
          <w:p w14:paraId="1E34849A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4.8</w:t>
            </w:r>
          </w:p>
        </w:tc>
        <w:tc>
          <w:tcPr>
            <w:tcW w:w="1117" w:type="pct"/>
            <w:hideMark/>
          </w:tcPr>
          <w:p w14:paraId="5FCFD4E5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2.5</w:t>
            </w:r>
          </w:p>
        </w:tc>
        <w:tc>
          <w:tcPr>
            <w:tcW w:w="1152" w:type="pct"/>
            <w:hideMark/>
          </w:tcPr>
          <w:p w14:paraId="432743F0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2.2</w:t>
            </w:r>
          </w:p>
        </w:tc>
        <w:tc>
          <w:tcPr>
            <w:tcW w:w="1258" w:type="pct"/>
            <w:hideMark/>
          </w:tcPr>
          <w:p w14:paraId="5466137F" w14:textId="77777777" w:rsidR="00573F97" w:rsidRPr="00573F97" w:rsidRDefault="00573F97" w:rsidP="00573F97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573F97">
              <w:rPr>
                <w:rFonts w:eastAsia="Calibri"/>
                <w:sz w:val="20"/>
                <w:szCs w:val="20"/>
              </w:rPr>
              <w:t>9.5</w:t>
            </w:r>
          </w:p>
        </w:tc>
      </w:tr>
    </w:tbl>
    <w:p w14:paraId="7DD35DFF" w14:textId="51B8FDA5" w:rsidR="0081707E" w:rsidRDefault="0081707E" w:rsidP="0081707E">
      <w:pPr>
        <w:spacing w:line="480" w:lineRule="auto"/>
        <w:rPr>
          <w:rFonts w:eastAsia="Calibri"/>
        </w:rPr>
      </w:pPr>
    </w:p>
    <w:p w14:paraId="00AA940E" w14:textId="31416E1C" w:rsidR="007B6003" w:rsidRPr="007B6003" w:rsidRDefault="007B6003" w:rsidP="007B6003">
      <w:pPr>
        <w:spacing w:line="480" w:lineRule="auto"/>
        <w:ind w:firstLine="720"/>
        <w:rPr>
          <w:rFonts w:eastAsia="Calibri"/>
        </w:rPr>
      </w:pPr>
      <w:r w:rsidRPr="007F553C">
        <w:rPr>
          <w:rFonts w:eastAsia="Calibri"/>
        </w:rPr>
        <w:t xml:space="preserve">It tends to analyse that the </w:t>
      </w:r>
      <w:r w:rsidRPr="007B6003">
        <w:rPr>
          <w:rFonts w:eastAsia="Calibri"/>
        </w:rPr>
        <w:t>company’s social investments have shown steady and strategic growth over the five-year period, increasing from $4.5 million in Year 1 to $9.5 million in Year 5 — a cumulative increase of 111%</w:t>
      </w:r>
      <w:r w:rsidRPr="007F553C">
        <w:rPr>
          <w:rFonts w:eastAsia="Calibri"/>
        </w:rPr>
        <w:t xml:space="preserve"> and t</w:t>
      </w:r>
      <w:r w:rsidRPr="007B6003">
        <w:rPr>
          <w:rFonts w:eastAsia="Calibri"/>
        </w:rPr>
        <w:t>his reflects a clear and deliberate commitment to enhancing its social impact, with resources allocated across three core areas: employee training, community projects, and diversity &amp; inclusion initiatives</w:t>
      </w:r>
      <w:r w:rsidR="007F553C" w:rsidRPr="007F553C">
        <w:rPr>
          <w:rFonts w:eastAsia="Calibri"/>
        </w:rPr>
        <w:t xml:space="preserve"> (</w:t>
      </w:r>
      <w:proofErr w:type="spellStart"/>
      <w:r w:rsidR="007F553C" w:rsidRPr="007F553C">
        <w:rPr>
          <w:rFonts w:eastAsia="Calibri"/>
        </w:rPr>
        <w:t>Festing</w:t>
      </w:r>
      <w:proofErr w:type="spellEnd"/>
      <w:r w:rsidR="007F553C" w:rsidRPr="007F553C">
        <w:rPr>
          <w:rFonts w:eastAsia="Calibri"/>
        </w:rPr>
        <w:t xml:space="preserve"> et al., 2025)</w:t>
      </w:r>
      <w:r w:rsidRPr="007B6003">
        <w:rPr>
          <w:rFonts w:eastAsia="Calibri"/>
        </w:rPr>
        <w:t>.</w:t>
      </w:r>
      <w:r w:rsidRPr="007F553C">
        <w:rPr>
          <w:rFonts w:eastAsia="Calibri"/>
        </w:rPr>
        <w:t xml:space="preserve"> According to the e</w:t>
      </w:r>
      <w:r w:rsidRPr="007B6003">
        <w:rPr>
          <w:rFonts w:eastAsia="Calibri"/>
        </w:rPr>
        <w:t>mployee training consistently represents the largest share of social investment, growing from $2.5 million in Year 1 to $4.8 million in Year 5</w:t>
      </w:r>
      <w:r w:rsidRPr="007F553C">
        <w:rPr>
          <w:rFonts w:eastAsia="Calibri"/>
        </w:rPr>
        <w:t xml:space="preserve"> and t</w:t>
      </w:r>
      <w:r w:rsidRPr="007B6003">
        <w:rPr>
          <w:rFonts w:eastAsia="Calibri"/>
        </w:rPr>
        <w:t xml:space="preserve">his sustained increase signals a long-term focus on upskilling the workforce, improving productivity, and strengthening employee </w:t>
      </w:r>
      <w:r w:rsidRPr="007B6003">
        <w:rPr>
          <w:rFonts w:eastAsia="Calibri"/>
        </w:rPr>
        <w:lastRenderedPageBreak/>
        <w:t>engagement</w:t>
      </w:r>
      <w:r w:rsidR="007F553C">
        <w:rPr>
          <w:rFonts w:eastAsia="Calibri"/>
        </w:rPr>
        <w:t xml:space="preserve"> </w:t>
      </w:r>
      <w:r w:rsidR="007F553C" w:rsidRPr="007F553C">
        <w:rPr>
          <w:rFonts w:eastAsia="Calibri"/>
        </w:rPr>
        <w:t xml:space="preserve">(Naidu &amp; </w:t>
      </w:r>
      <w:proofErr w:type="spellStart"/>
      <w:r w:rsidR="007F553C" w:rsidRPr="007F553C">
        <w:rPr>
          <w:rFonts w:eastAsia="Calibri"/>
        </w:rPr>
        <w:t>Ranjeeni</w:t>
      </w:r>
      <w:proofErr w:type="spellEnd"/>
      <w:r w:rsidR="007F553C" w:rsidRPr="007F553C">
        <w:rPr>
          <w:rFonts w:eastAsia="Calibri"/>
        </w:rPr>
        <w:t>, 2024)</w:t>
      </w:r>
      <w:r w:rsidRPr="007B6003">
        <w:rPr>
          <w:rFonts w:eastAsia="Calibri"/>
        </w:rPr>
        <w:t xml:space="preserve">. </w:t>
      </w:r>
      <w:r w:rsidRPr="007F553C">
        <w:rPr>
          <w:rFonts w:eastAsia="Calibri"/>
        </w:rPr>
        <w:t>It is evident from the r</w:t>
      </w:r>
      <w:r w:rsidRPr="007B6003">
        <w:rPr>
          <w:rFonts w:eastAsia="Calibri"/>
        </w:rPr>
        <w:t xml:space="preserve">esearch </w:t>
      </w:r>
      <w:r w:rsidRPr="007F553C">
        <w:rPr>
          <w:rFonts w:eastAsia="Calibri"/>
        </w:rPr>
        <w:t xml:space="preserve">conducted </w:t>
      </w:r>
      <w:r w:rsidRPr="007B6003">
        <w:rPr>
          <w:rFonts w:eastAsia="Calibri"/>
        </w:rPr>
        <w:t>by McKinsey (2024) highlights that organizations investing in employee development often experience reduced turnover and higher innovation capacity, which can directly support business performance.</w:t>
      </w:r>
      <w:r w:rsidRPr="007F553C">
        <w:rPr>
          <w:rFonts w:eastAsia="Calibri"/>
        </w:rPr>
        <w:t xml:space="preserve"> Based on the c</w:t>
      </w:r>
      <w:r w:rsidRPr="007B6003">
        <w:rPr>
          <w:rFonts w:eastAsia="Calibri"/>
        </w:rPr>
        <w:t xml:space="preserve">ommunity project funding </w:t>
      </w:r>
      <w:r w:rsidRPr="007F553C">
        <w:rPr>
          <w:rFonts w:eastAsia="Calibri"/>
        </w:rPr>
        <w:t xml:space="preserve">which </w:t>
      </w:r>
      <w:r w:rsidRPr="007B6003">
        <w:rPr>
          <w:rFonts w:eastAsia="Calibri"/>
        </w:rPr>
        <w:t>has also expanded significantly, from $1.2 million in Year 1 to $2.5 million in Year 5</w:t>
      </w:r>
      <w:r w:rsidRPr="007F553C">
        <w:rPr>
          <w:rFonts w:eastAsia="Calibri"/>
        </w:rPr>
        <w:t xml:space="preserve"> and t</w:t>
      </w:r>
      <w:r w:rsidRPr="007B6003">
        <w:rPr>
          <w:rFonts w:eastAsia="Calibri"/>
        </w:rPr>
        <w:t>hese investments strengthen relationships with local communities, enhance corporate reputation, and may help the company secure social license to operate in sensitive markets</w:t>
      </w:r>
      <w:r w:rsidR="007F553C" w:rsidRPr="007F553C">
        <w:rPr>
          <w:rFonts w:eastAsia="Calibri"/>
        </w:rPr>
        <w:t xml:space="preserve"> (Ashraf, Choudhary, &amp; Jaggi, 2024)</w:t>
      </w:r>
      <w:r w:rsidRPr="007B6003">
        <w:rPr>
          <w:rFonts w:eastAsia="Calibri"/>
        </w:rPr>
        <w:t xml:space="preserve">. </w:t>
      </w:r>
      <w:r w:rsidRPr="007F553C">
        <w:rPr>
          <w:rFonts w:eastAsia="Calibri"/>
        </w:rPr>
        <w:t>On the basis of s</w:t>
      </w:r>
      <w:r w:rsidRPr="007B6003">
        <w:rPr>
          <w:rFonts w:eastAsia="Calibri"/>
        </w:rPr>
        <w:t xml:space="preserve">uch efforts </w:t>
      </w:r>
      <w:r w:rsidRPr="007F553C">
        <w:rPr>
          <w:rFonts w:eastAsia="Calibri"/>
        </w:rPr>
        <w:t xml:space="preserve">which tends to </w:t>
      </w:r>
      <w:r w:rsidRPr="007B6003">
        <w:rPr>
          <w:rFonts w:eastAsia="Calibri"/>
        </w:rPr>
        <w:t>create indirect business benefits, including improved brand loyalty and better customer acquisition in socially conscious segments.</w:t>
      </w:r>
      <w:r w:rsidRPr="007F553C">
        <w:rPr>
          <w:rFonts w:eastAsia="Calibri"/>
        </w:rPr>
        <w:t xml:space="preserve"> As per the d</w:t>
      </w:r>
      <w:r w:rsidRPr="007B6003">
        <w:rPr>
          <w:rFonts w:eastAsia="Calibri"/>
        </w:rPr>
        <w:t>iversity &amp; inclusion (D&amp;I) spending increased from $0.8 million to $2.2 million, representing the fastest growth rate among the three categories</w:t>
      </w:r>
      <w:r w:rsidRPr="007F553C">
        <w:rPr>
          <w:rFonts w:eastAsia="Calibri"/>
        </w:rPr>
        <w:t xml:space="preserve"> and t</w:t>
      </w:r>
      <w:r w:rsidRPr="007B6003">
        <w:rPr>
          <w:rFonts w:eastAsia="Calibri"/>
        </w:rPr>
        <w:t>his reflects the company’s alignment with global ESG (Environmental, Social, and Governance) expectations and the recognition that diverse teams contribute to stronger decision-making and innovation outcomes</w:t>
      </w:r>
      <w:r w:rsidR="007F553C">
        <w:rPr>
          <w:rFonts w:eastAsia="Calibri"/>
        </w:rPr>
        <w:t xml:space="preserve"> </w:t>
      </w:r>
      <w:r w:rsidR="007F553C" w:rsidRPr="007F553C">
        <w:rPr>
          <w:rFonts w:eastAsia="Calibri"/>
        </w:rPr>
        <w:t>(</w:t>
      </w:r>
      <w:proofErr w:type="spellStart"/>
      <w:r w:rsidR="007F553C" w:rsidRPr="007F553C">
        <w:rPr>
          <w:rFonts w:eastAsia="Calibri"/>
        </w:rPr>
        <w:t>Festing</w:t>
      </w:r>
      <w:proofErr w:type="spellEnd"/>
      <w:r w:rsidR="007F553C" w:rsidRPr="007F553C">
        <w:rPr>
          <w:rFonts w:eastAsia="Calibri"/>
        </w:rPr>
        <w:t xml:space="preserve"> et al., 2025)</w:t>
      </w:r>
      <w:r w:rsidRPr="007B6003">
        <w:rPr>
          <w:rFonts w:eastAsia="Calibri"/>
        </w:rPr>
        <w:t>.</w:t>
      </w:r>
    </w:p>
    <w:p w14:paraId="1962EC5C" w14:textId="77777777" w:rsidR="00573F97" w:rsidRPr="00835D81" w:rsidRDefault="00573F97" w:rsidP="0081707E">
      <w:pPr>
        <w:spacing w:line="480" w:lineRule="auto"/>
        <w:rPr>
          <w:rFonts w:eastAsia="Calibri"/>
        </w:rPr>
      </w:pPr>
    </w:p>
    <w:p w14:paraId="6E9DB332" w14:textId="77777777" w:rsidR="00964FF8" w:rsidRDefault="00964FF8" w:rsidP="00964FF8">
      <w:pPr>
        <w:spacing w:line="480" w:lineRule="auto"/>
        <w:jc w:val="center"/>
        <w:rPr>
          <w:rFonts w:eastAsia="Calibri"/>
          <w:b/>
          <w:bCs/>
        </w:rPr>
      </w:pPr>
      <w:r w:rsidRPr="00835D81">
        <w:rPr>
          <w:rFonts w:eastAsia="Calibri"/>
          <w:b/>
          <w:bCs/>
        </w:rPr>
        <w:t>Environmental Impact Trends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1628"/>
        <w:gridCol w:w="1622"/>
        <w:gridCol w:w="1659"/>
        <w:gridCol w:w="1847"/>
        <w:gridCol w:w="1920"/>
      </w:tblGrid>
      <w:tr w:rsidR="00B21B6B" w:rsidRPr="00B21B6B" w14:paraId="1167AAE8" w14:textId="77777777" w:rsidTr="00B21B6B">
        <w:tc>
          <w:tcPr>
            <w:tcW w:w="0" w:type="auto"/>
            <w:hideMark/>
          </w:tcPr>
          <w:p w14:paraId="36F78CA1" w14:textId="77777777" w:rsidR="00B21B6B" w:rsidRPr="00B21B6B" w:rsidRDefault="00B21B6B" w:rsidP="00B21B6B">
            <w:pPr>
              <w:spacing w:line="48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B21B6B">
              <w:rPr>
                <w:rFonts w:eastAsia="Calibri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0" w:type="auto"/>
            <w:hideMark/>
          </w:tcPr>
          <w:p w14:paraId="51DADBF2" w14:textId="77777777" w:rsidR="00B21B6B" w:rsidRPr="00B21B6B" w:rsidRDefault="00B21B6B" w:rsidP="00B21B6B">
            <w:pPr>
              <w:spacing w:line="48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B21B6B">
              <w:rPr>
                <w:rFonts w:eastAsia="Calibri"/>
                <w:b/>
                <w:bCs/>
                <w:sz w:val="20"/>
                <w:szCs w:val="20"/>
              </w:rPr>
              <w:t>Renewable Energy Adoption</w:t>
            </w:r>
          </w:p>
        </w:tc>
        <w:tc>
          <w:tcPr>
            <w:tcW w:w="0" w:type="auto"/>
            <w:hideMark/>
          </w:tcPr>
          <w:p w14:paraId="5434BC7D" w14:textId="77777777" w:rsidR="00B21B6B" w:rsidRPr="00B21B6B" w:rsidRDefault="00B21B6B" w:rsidP="00B21B6B">
            <w:pPr>
              <w:spacing w:line="48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B21B6B">
              <w:rPr>
                <w:rFonts w:eastAsia="Calibri"/>
                <w:b/>
                <w:bCs/>
                <w:sz w:val="20"/>
                <w:szCs w:val="20"/>
              </w:rPr>
              <w:t>Waste Reduction &amp; Recycling</w:t>
            </w:r>
          </w:p>
        </w:tc>
        <w:tc>
          <w:tcPr>
            <w:tcW w:w="0" w:type="auto"/>
            <w:hideMark/>
          </w:tcPr>
          <w:p w14:paraId="062FDEA1" w14:textId="77777777" w:rsidR="00B21B6B" w:rsidRPr="00B21B6B" w:rsidRDefault="00B21B6B" w:rsidP="00B21B6B">
            <w:pPr>
              <w:spacing w:line="48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B21B6B">
              <w:rPr>
                <w:rFonts w:eastAsia="Calibri"/>
                <w:b/>
                <w:bCs/>
                <w:sz w:val="20"/>
                <w:szCs w:val="20"/>
              </w:rPr>
              <w:t>Emissions Reduction Programs</w:t>
            </w:r>
          </w:p>
        </w:tc>
        <w:tc>
          <w:tcPr>
            <w:tcW w:w="0" w:type="auto"/>
            <w:hideMark/>
          </w:tcPr>
          <w:p w14:paraId="757C8A72" w14:textId="77777777" w:rsidR="00B21B6B" w:rsidRPr="00B21B6B" w:rsidRDefault="00B21B6B" w:rsidP="00B21B6B">
            <w:pPr>
              <w:spacing w:line="48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B21B6B">
              <w:rPr>
                <w:rFonts w:eastAsia="Calibri"/>
                <w:b/>
                <w:bCs/>
                <w:sz w:val="20"/>
                <w:szCs w:val="20"/>
              </w:rPr>
              <w:t>Total Environmental Spend</w:t>
            </w:r>
          </w:p>
        </w:tc>
        <w:tc>
          <w:tcPr>
            <w:tcW w:w="0" w:type="auto"/>
            <w:hideMark/>
          </w:tcPr>
          <w:p w14:paraId="45D82DF3" w14:textId="77777777" w:rsidR="00B21B6B" w:rsidRPr="00B21B6B" w:rsidRDefault="00B21B6B" w:rsidP="00B21B6B">
            <w:pPr>
              <w:spacing w:line="480" w:lineRule="auto"/>
              <w:rPr>
                <w:rFonts w:eastAsia="Calibri"/>
                <w:b/>
                <w:bCs/>
                <w:sz w:val="20"/>
                <w:szCs w:val="20"/>
              </w:rPr>
            </w:pPr>
            <w:r w:rsidRPr="00B21B6B">
              <w:rPr>
                <w:rFonts w:eastAsia="Calibri"/>
                <w:b/>
                <w:bCs/>
                <w:sz w:val="20"/>
                <w:szCs w:val="20"/>
              </w:rPr>
              <w:t>Estimated Annual Cost Savings Achieved</w:t>
            </w:r>
          </w:p>
        </w:tc>
      </w:tr>
      <w:tr w:rsidR="00B21B6B" w:rsidRPr="00B21B6B" w14:paraId="11309CB9" w14:textId="77777777" w:rsidTr="00B21B6B">
        <w:tc>
          <w:tcPr>
            <w:tcW w:w="0" w:type="auto"/>
            <w:hideMark/>
          </w:tcPr>
          <w:p w14:paraId="511441C6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Year 1</w:t>
            </w:r>
          </w:p>
        </w:tc>
        <w:tc>
          <w:tcPr>
            <w:tcW w:w="0" w:type="auto"/>
            <w:hideMark/>
          </w:tcPr>
          <w:p w14:paraId="112C2B50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1.5</w:t>
            </w:r>
          </w:p>
        </w:tc>
        <w:tc>
          <w:tcPr>
            <w:tcW w:w="0" w:type="auto"/>
            <w:hideMark/>
          </w:tcPr>
          <w:p w14:paraId="6686627E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0.8</w:t>
            </w:r>
          </w:p>
        </w:tc>
        <w:tc>
          <w:tcPr>
            <w:tcW w:w="0" w:type="auto"/>
            <w:hideMark/>
          </w:tcPr>
          <w:p w14:paraId="4C7D7216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0.5</w:t>
            </w:r>
          </w:p>
        </w:tc>
        <w:tc>
          <w:tcPr>
            <w:tcW w:w="0" w:type="auto"/>
            <w:hideMark/>
          </w:tcPr>
          <w:p w14:paraId="038E8891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2.8</w:t>
            </w:r>
          </w:p>
        </w:tc>
        <w:tc>
          <w:tcPr>
            <w:tcW w:w="0" w:type="auto"/>
            <w:hideMark/>
          </w:tcPr>
          <w:p w14:paraId="0E19DC99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0.0</w:t>
            </w:r>
          </w:p>
        </w:tc>
      </w:tr>
      <w:tr w:rsidR="00B21B6B" w:rsidRPr="00B21B6B" w14:paraId="74BF8D90" w14:textId="77777777" w:rsidTr="00B21B6B">
        <w:tc>
          <w:tcPr>
            <w:tcW w:w="0" w:type="auto"/>
            <w:hideMark/>
          </w:tcPr>
          <w:p w14:paraId="10F90F18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Year 2</w:t>
            </w:r>
          </w:p>
        </w:tc>
        <w:tc>
          <w:tcPr>
            <w:tcW w:w="0" w:type="auto"/>
            <w:hideMark/>
          </w:tcPr>
          <w:p w14:paraId="3DC4D3CD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2.0</w:t>
            </w:r>
          </w:p>
        </w:tc>
        <w:tc>
          <w:tcPr>
            <w:tcW w:w="0" w:type="auto"/>
            <w:hideMark/>
          </w:tcPr>
          <w:p w14:paraId="42FE2F45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1.0</w:t>
            </w:r>
          </w:p>
        </w:tc>
        <w:tc>
          <w:tcPr>
            <w:tcW w:w="0" w:type="auto"/>
            <w:hideMark/>
          </w:tcPr>
          <w:p w14:paraId="2C685511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0.8</w:t>
            </w:r>
          </w:p>
        </w:tc>
        <w:tc>
          <w:tcPr>
            <w:tcW w:w="0" w:type="auto"/>
            <w:hideMark/>
          </w:tcPr>
          <w:p w14:paraId="39942F57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3.8</w:t>
            </w:r>
          </w:p>
        </w:tc>
        <w:tc>
          <w:tcPr>
            <w:tcW w:w="0" w:type="auto"/>
            <w:hideMark/>
          </w:tcPr>
          <w:p w14:paraId="04E8DEFF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0.5</w:t>
            </w:r>
          </w:p>
        </w:tc>
      </w:tr>
      <w:tr w:rsidR="00B21B6B" w:rsidRPr="00B21B6B" w14:paraId="29BB866C" w14:textId="77777777" w:rsidTr="00B21B6B">
        <w:tc>
          <w:tcPr>
            <w:tcW w:w="0" w:type="auto"/>
            <w:hideMark/>
          </w:tcPr>
          <w:p w14:paraId="73A6BE9A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Year 3</w:t>
            </w:r>
          </w:p>
        </w:tc>
        <w:tc>
          <w:tcPr>
            <w:tcW w:w="0" w:type="auto"/>
            <w:hideMark/>
          </w:tcPr>
          <w:p w14:paraId="5EEB0C5C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2.4</w:t>
            </w:r>
          </w:p>
        </w:tc>
        <w:tc>
          <w:tcPr>
            <w:tcW w:w="0" w:type="auto"/>
            <w:hideMark/>
          </w:tcPr>
          <w:p w14:paraId="7A460D58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1.3</w:t>
            </w:r>
          </w:p>
        </w:tc>
        <w:tc>
          <w:tcPr>
            <w:tcW w:w="0" w:type="auto"/>
            <w:hideMark/>
          </w:tcPr>
          <w:p w14:paraId="6C7AE6B2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1.0</w:t>
            </w:r>
          </w:p>
        </w:tc>
        <w:tc>
          <w:tcPr>
            <w:tcW w:w="0" w:type="auto"/>
            <w:hideMark/>
          </w:tcPr>
          <w:p w14:paraId="41F13313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4.7</w:t>
            </w:r>
          </w:p>
        </w:tc>
        <w:tc>
          <w:tcPr>
            <w:tcW w:w="0" w:type="auto"/>
            <w:hideMark/>
          </w:tcPr>
          <w:p w14:paraId="5D4135D8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0.8</w:t>
            </w:r>
          </w:p>
        </w:tc>
      </w:tr>
      <w:tr w:rsidR="00B21B6B" w:rsidRPr="00B21B6B" w14:paraId="424407A2" w14:textId="77777777" w:rsidTr="00B21B6B">
        <w:tc>
          <w:tcPr>
            <w:tcW w:w="0" w:type="auto"/>
            <w:hideMark/>
          </w:tcPr>
          <w:p w14:paraId="1A20A6BE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lastRenderedPageBreak/>
              <w:t>Year 4</w:t>
            </w:r>
          </w:p>
        </w:tc>
        <w:tc>
          <w:tcPr>
            <w:tcW w:w="0" w:type="auto"/>
            <w:hideMark/>
          </w:tcPr>
          <w:p w14:paraId="71A981C4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2.8</w:t>
            </w:r>
          </w:p>
        </w:tc>
        <w:tc>
          <w:tcPr>
            <w:tcW w:w="0" w:type="auto"/>
            <w:hideMark/>
          </w:tcPr>
          <w:p w14:paraId="0EE425A1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1.6</w:t>
            </w:r>
          </w:p>
        </w:tc>
        <w:tc>
          <w:tcPr>
            <w:tcW w:w="0" w:type="auto"/>
            <w:hideMark/>
          </w:tcPr>
          <w:p w14:paraId="61845AD7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1.4</w:t>
            </w:r>
          </w:p>
        </w:tc>
        <w:tc>
          <w:tcPr>
            <w:tcW w:w="0" w:type="auto"/>
            <w:hideMark/>
          </w:tcPr>
          <w:p w14:paraId="2D9DE3A4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5.8</w:t>
            </w:r>
          </w:p>
        </w:tc>
        <w:tc>
          <w:tcPr>
            <w:tcW w:w="0" w:type="auto"/>
            <w:hideMark/>
          </w:tcPr>
          <w:p w14:paraId="1D32D5E2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1.2</w:t>
            </w:r>
          </w:p>
        </w:tc>
      </w:tr>
      <w:tr w:rsidR="00B21B6B" w:rsidRPr="00B21B6B" w14:paraId="26DFDF25" w14:textId="77777777" w:rsidTr="00B21B6B">
        <w:tc>
          <w:tcPr>
            <w:tcW w:w="0" w:type="auto"/>
            <w:hideMark/>
          </w:tcPr>
          <w:p w14:paraId="46E5A519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Year 5</w:t>
            </w:r>
          </w:p>
        </w:tc>
        <w:tc>
          <w:tcPr>
            <w:tcW w:w="0" w:type="auto"/>
            <w:hideMark/>
          </w:tcPr>
          <w:p w14:paraId="72FB825A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3.2</w:t>
            </w:r>
          </w:p>
        </w:tc>
        <w:tc>
          <w:tcPr>
            <w:tcW w:w="0" w:type="auto"/>
            <w:hideMark/>
          </w:tcPr>
          <w:p w14:paraId="35C4A178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2.0</w:t>
            </w:r>
          </w:p>
        </w:tc>
        <w:tc>
          <w:tcPr>
            <w:tcW w:w="0" w:type="auto"/>
            <w:hideMark/>
          </w:tcPr>
          <w:p w14:paraId="53734C4A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1.8</w:t>
            </w:r>
          </w:p>
        </w:tc>
        <w:tc>
          <w:tcPr>
            <w:tcW w:w="0" w:type="auto"/>
            <w:hideMark/>
          </w:tcPr>
          <w:p w14:paraId="0942889B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7.0</w:t>
            </w:r>
          </w:p>
        </w:tc>
        <w:tc>
          <w:tcPr>
            <w:tcW w:w="0" w:type="auto"/>
            <w:hideMark/>
          </w:tcPr>
          <w:p w14:paraId="587F4DFE" w14:textId="77777777" w:rsidR="00B21B6B" w:rsidRPr="00B21B6B" w:rsidRDefault="00B21B6B" w:rsidP="00B21B6B">
            <w:pPr>
              <w:spacing w:line="480" w:lineRule="auto"/>
              <w:rPr>
                <w:rFonts w:eastAsia="Calibri"/>
                <w:sz w:val="20"/>
                <w:szCs w:val="20"/>
              </w:rPr>
            </w:pPr>
            <w:r w:rsidRPr="00B21B6B">
              <w:rPr>
                <w:rFonts w:eastAsia="Calibri"/>
                <w:sz w:val="20"/>
                <w:szCs w:val="20"/>
              </w:rPr>
              <w:t>1.6</w:t>
            </w:r>
          </w:p>
        </w:tc>
      </w:tr>
    </w:tbl>
    <w:p w14:paraId="6516BB3B" w14:textId="77777777" w:rsidR="00B21B6B" w:rsidRDefault="00B21B6B" w:rsidP="00B21B6B">
      <w:pPr>
        <w:spacing w:line="480" w:lineRule="auto"/>
        <w:rPr>
          <w:rFonts w:eastAsia="Calibri"/>
        </w:rPr>
      </w:pPr>
    </w:p>
    <w:p w14:paraId="5600E886" w14:textId="50260AF5" w:rsidR="00B21B6B" w:rsidRPr="00B21B6B" w:rsidRDefault="00B21B6B" w:rsidP="00B21B6B">
      <w:pPr>
        <w:spacing w:line="480" w:lineRule="auto"/>
        <w:rPr>
          <w:rFonts w:eastAsia="Calibri"/>
        </w:rPr>
      </w:pPr>
      <w:r>
        <w:rPr>
          <w:rFonts w:eastAsia="Calibri"/>
        </w:rPr>
        <w:tab/>
        <w:t xml:space="preserve">Based on the </w:t>
      </w:r>
      <w:r w:rsidRPr="00B21B6B">
        <w:rPr>
          <w:rFonts w:eastAsia="Calibri"/>
        </w:rPr>
        <w:t>company’s environmental spending has grown substantially over the five-year period, increasing from $2.8 million in Year 1 to $7.0 million in Year 5 — a rise of 150%</w:t>
      </w:r>
      <w:r>
        <w:rPr>
          <w:rFonts w:eastAsia="Calibri"/>
        </w:rPr>
        <w:t xml:space="preserve"> and t</w:t>
      </w:r>
      <w:r w:rsidRPr="00B21B6B">
        <w:rPr>
          <w:rFonts w:eastAsia="Calibri"/>
        </w:rPr>
        <w:t>his upward trend reflects a strong and consistent commitment to sustainability, with balanced investment across renewable energy adoption, waste reduction and recycling, and emissions reduction programs.</w:t>
      </w:r>
      <w:r>
        <w:rPr>
          <w:rFonts w:eastAsia="Calibri"/>
        </w:rPr>
        <w:t xml:space="preserve"> It is important to understand that r</w:t>
      </w:r>
      <w:r w:rsidRPr="00B21B6B">
        <w:rPr>
          <w:rFonts w:eastAsia="Calibri"/>
        </w:rPr>
        <w:t>enewable energy adoption represents the largest expenditure, rising from $1.5 million to $3.2 million</w:t>
      </w:r>
      <w:r>
        <w:rPr>
          <w:rFonts w:eastAsia="Calibri"/>
        </w:rPr>
        <w:t xml:space="preserve"> and t</w:t>
      </w:r>
      <w:r w:rsidRPr="00B21B6B">
        <w:rPr>
          <w:rFonts w:eastAsia="Calibri"/>
        </w:rPr>
        <w:t xml:space="preserve">his shift likely contributes to reduced dependency on non-renewable energy sources, aligning with global decarbonization targets. </w:t>
      </w:r>
      <w:r>
        <w:rPr>
          <w:rFonts w:eastAsia="Calibri"/>
        </w:rPr>
        <w:t>In accordance with the w</w:t>
      </w:r>
      <w:r w:rsidRPr="00B21B6B">
        <w:rPr>
          <w:rFonts w:eastAsia="Calibri"/>
        </w:rPr>
        <w:t>aste reduction and recycling investments doubled over the period, from $0.8 million to $2.0 million, indicating improvements in resource efficiency and landfill diversion</w:t>
      </w:r>
      <w:r w:rsidR="007F553C">
        <w:rPr>
          <w:rFonts w:eastAsia="Calibri"/>
        </w:rPr>
        <w:t xml:space="preserve"> </w:t>
      </w:r>
      <w:r w:rsidR="007F553C" w:rsidRPr="007F553C">
        <w:rPr>
          <w:rFonts w:eastAsia="Calibri"/>
        </w:rPr>
        <w:t>(Ashraf, Choudhary, &amp; Jaggi, 2024)</w:t>
      </w:r>
      <w:r w:rsidRPr="00B21B6B">
        <w:rPr>
          <w:rFonts w:eastAsia="Calibri"/>
        </w:rPr>
        <w:t xml:space="preserve">. </w:t>
      </w:r>
      <w:r>
        <w:rPr>
          <w:rFonts w:eastAsia="Calibri"/>
        </w:rPr>
        <w:t>It also includes the e</w:t>
      </w:r>
      <w:r w:rsidRPr="00B21B6B">
        <w:rPr>
          <w:rFonts w:eastAsia="Calibri"/>
        </w:rPr>
        <w:t>missions reduction programs, while the smallest cost category grew the fastest in percentage terms, from $0.5 million to $1.8 million, likely in response to tightening environmental regulations.</w:t>
      </w:r>
      <w:r>
        <w:rPr>
          <w:rFonts w:eastAsia="Calibri"/>
        </w:rPr>
        <w:t xml:space="preserve"> Nevertheless, it is also important to indicate that </w:t>
      </w:r>
      <w:r w:rsidRPr="00B21B6B">
        <w:rPr>
          <w:rFonts w:eastAsia="Calibri"/>
        </w:rPr>
        <w:t>these initiatives have begun generating measurable financial returns, with estimated annual cost savings rising from zero in Year 1 to $1.6 million in Year 5</w:t>
      </w:r>
      <w:r>
        <w:rPr>
          <w:rFonts w:eastAsia="Calibri"/>
        </w:rPr>
        <w:t xml:space="preserve"> and t</w:t>
      </w:r>
      <w:r w:rsidRPr="00B21B6B">
        <w:rPr>
          <w:rFonts w:eastAsia="Calibri"/>
        </w:rPr>
        <w:t>his demonstrates that environmental responsibility delivers operational efficiency, not just compliance benefits</w:t>
      </w:r>
      <w:r w:rsidR="007F553C">
        <w:rPr>
          <w:rFonts w:eastAsia="Calibri"/>
        </w:rPr>
        <w:t xml:space="preserve"> </w:t>
      </w:r>
      <w:r w:rsidR="007F553C" w:rsidRPr="007F553C">
        <w:rPr>
          <w:rFonts w:eastAsia="Calibri"/>
        </w:rPr>
        <w:t>(Zhang, Sohn, &amp; Zhang, 2025)</w:t>
      </w:r>
      <w:r w:rsidRPr="00B21B6B">
        <w:rPr>
          <w:rFonts w:eastAsia="Calibri"/>
        </w:rPr>
        <w:t>.</w:t>
      </w:r>
    </w:p>
    <w:p w14:paraId="411ED325" w14:textId="7BE53637" w:rsidR="00B21B6B" w:rsidRPr="00835D81" w:rsidRDefault="00B21B6B" w:rsidP="00B21B6B">
      <w:pPr>
        <w:spacing w:line="480" w:lineRule="auto"/>
        <w:rPr>
          <w:rFonts w:eastAsia="Calibri"/>
        </w:rPr>
      </w:pPr>
    </w:p>
    <w:p w14:paraId="2F336604" w14:textId="77777777" w:rsidR="00964FF8" w:rsidRDefault="00964FF8" w:rsidP="00964FF8">
      <w:pPr>
        <w:spacing w:line="480" w:lineRule="auto"/>
        <w:jc w:val="center"/>
        <w:rPr>
          <w:rFonts w:eastAsia="Calibri"/>
          <w:b/>
          <w:bCs/>
        </w:rPr>
      </w:pPr>
      <w:r w:rsidRPr="00835D81">
        <w:rPr>
          <w:rFonts w:eastAsia="Calibri"/>
          <w:b/>
          <w:bCs/>
        </w:rPr>
        <w:t>Overall Financial Health</w:t>
      </w:r>
    </w:p>
    <w:p w14:paraId="7026254D" w14:textId="1B438E2E" w:rsidR="00B21B6B" w:rsidRPr="00B21B6B" w:rsidRDefault="00B21B6B" w:rsidP="00B21B6B">
      <w:pPr>
        <w:spacing w:line="480" w:lineRule="auto"/>
        <w:rPr>
          <w:rFonts w:eastAsia="Calibri"/>
        </w:rPr>
      </w:pPr>
      <w:r w:rsidRPr="00B21B6B">
        <w:rPr>
          <w:rFonts w:eastAsia="Calibri"/>
        </w:rPr>
        <w:lastRenderedPageBreak/>
        <w:tab/>
      </w:r>
      <w:r>
        <w:rPr>
          <w:rFonts w:eastAsia="Calibri"/>
        </w:rPr>
        <w:t xml:space="preserve">As per the </w:t>
      </w:r>
      <w:r w:rsidRPr="00B21B6B">
        <w:rPr>
          <w:rFonts w:eastAsia="Calibri"/>
        </w:rPr>
        <w:t xml:space="preserve">5-year trends indicate a strong and improving financial position, with consistent revenue growth and expanding market share. </w:t>
      </w:r>
      <w:r>
        <w:rPr>
          <w:rFonts w:eastAsia="Calibri"/>
        </w:rPr>
        <w:t>However, it also tends to analyse that the l</w:t>
      </w:r>
      <w:r w:rsidRPr="00B21B6B">
        <w:rPr>
          <w:rFonts w:eastAsia="Calibri"/>
        </w:rPr>
        <w:t xml:space="preserve">iquidity ratios remain above industry averages, suggesting sufficient capacity to meet short-term obligations. </w:t>
      </w:r>
      <w:r>
        <w:rPr>
          <w:rFonts w:eastAsia="Calibri"/>
        </w:rPr>
        <w:t xml:space="preserve">One of the major </w:t>
      </w:r>
      <w:r w:rsidRPr="00B21B6B">
        <w:rPr>
          <w:rFonts w:eastAsia="Calibri"/>
        </w:rPr>
        <w:t>risks includes</w:t>
      </w:r>
      <w:r>
        <w:rPr>
          <w:rFonts w:eastAsia="Calibri"/>
        </w:rPr>
        <w:t xml:space="preserve"> </w:t>
      </w:r>
      <w:r w:rsidRPr="00B21B6B">
        <w:rPr>
          <w:rFonts w:eastAsia="Calibri"/>
        </w:rPr>
        <w:t>reliance on a single supplier, exposure to commodity price fluctuations</w:t>
      </w:r>
      <w:r>
        <w:rPr>
          <w:rFonts w:eastAsia="Calibri"/>
        </w:rPr>
        <w:t xml:space="preserve"> and on the basis of that the o</w:t>
      </w:r>
      <w:r w:rsidRPr="00B21B6B">
        <w:rPr>
          <w:rFonts w:eastAsia="Calibri"/>
        </w:rPr>
        <w:t>pportunities exist in scaling sustainable products and capitalizing on growing ESG-conscious consumer demand.</w:t>
      </w:r>
    </w:p>
    <w:p w14:paraId="74CD09E5" w14:textId="0271F5C9" w:rsidR="00B21B6B" w:rsidRPr="00835D81" w:rsidRDefault="00B21B6B" w:rsidP="00B21B6B">
      <w:pPr>
        <w:spacing w:line="480" w:lineRule="auto"/>
        <w:rPr>
          <w:rFonts w:eastAsia="Calibri"/>
        </w:rPr>
      </w:pPr>
    </w:p>
    <w:p w14:paraId="7F79F8D8" w14:textId="7A4FC14F" w:rsidR="000455F6" w:rsidRDefault="000455F6" w:rsidP="00964FF8">
      <w:pPr>
        <w:spacing w:line="480" w:lineRule="auto"/>
        <w:jc w:val="center"/>
        <w:rPr>
          <w:b/>
          <w:color w:val="000000"/>
        </w:rPr>
      </w:pPr>
      <w:r w:rsidRPr="007E1727">
        <w:rPr>
          <w:b/>
          <w:color w:val="000000"/>
        </w:rPr>
        <w:t>Conclusion</w:t>
      </w:r>
    </w:p>
    <w:p w14:paraId="06CC84CF" w14:textId="7F9F80BC" w:rsidR="00B21B6B" w:rsidRPr="00B21B6B" w:rsidRDefault="00B21B6B" w:rsidP="00B21B6B">
      <w:pPr>
        <w:spacing w:line="480" w:lineRule="auto"/>
        <w:rPr>
          <w:bCs/>
          <w:color w:val="000000"/>
        </w:rPr>
      </w:pPr>
      <w:r w:rsidRPr="00B21B6B">
        <w:rPr>
          <w:bCs/>
          <w:color w:val="000000"/>
        </w:rPr>
        <w:tab/>
      </w:r>
      <w:r>
        <w:rPr>
          <w:bCs/>
          <w:color w:val="000000"/>
        </w:rPr>
        <w:t xml:space="preserve">According to </w:t>
      </w:r>
      <w:r w:rsidRPr="00B21B6B">
        <w:rPr>
          <w:bCs/>
          <w:color w:val="000000"/>
        </w:rPr>
        <w:t xml:space="preserve">the </w:t>
      </w:r>
      <w:r>
        <w:rPr>
          <w:bCs/>
          <w:color w:val="000000"/>
        </w:rPr>
        <w:t xml:space="preserve">above analysis, a </w:t>
      </w:r>
      <w:r w:rsidRPr="00B21B6B">
        <w:rPr>
          <w:bCs/>
          <w:color w:val="000000"/>
        </w:rPr>
        <w:t xml:space="preserve">5-year analysis shows a company on a strong growth trajectory, with steady financial gains supported by rising social and environmental investments. </w:t>
      </w:r>
      <w:r>
        <w:rPr>
          <w:bCs/>
          <w:color w:val="000000"/>
        </w:rPr>
        <w:t>Based on t</w:t>
      </w:r>
      <w:r w:rsidRPr="00B21B6B">
        <w:rPr>
          <w:bCs/>
          <w:color w:val="000000"/>
        </w:rPr>
        <w:t>hese commitments not only enhance operational efficiency and stakeholder trust but also position the business for long-term sustainability and competitive advantage</w:t>
      </w:r>
      <w:r>
        <w:rPr>
          <w:bCs/>
          <w:color w:val="000000"/>
        </w:rPr>
        <w:t xml:space="preserve"> such as b</w:t>
      </w:r>
      <w:r w:rsidRPr="00B21B6B">
        <w:rPr>
          <w:bCs/>
          <w:color w:val="000000"/>
        </w:rPr>
        <w:t>y balancing profitability with responsible practices, the company demonstrates resilience and readiness to capture future market opportunities.</w:t>
      </w:r>
    </w:p>
    <w:p w14:paraId="14F02A1C" w14:textId="6F0FB9EF" w:rsidR="00B21B6B" w:rsidRPr="007E1727" w:rsidRDefault="00B21B6B" w:rsidP="00B21B6B">
      <w:pPr>
        <w:spacing w:line="480" w:lineRule="auto"/>
        <w:rPr>
          <w:b/>
          <w:color w:val="000000"/>
        </w:rPr>
      </w:pPr>
    </w:p>
    <w:bookmarkEnd w:id="0"/>
    <w:p w14:paraId="28171744" w14:textId="7D4BA5FA" w:rsidR="000455F6" w:rsidRPr="00B21B6B" w:rsidRDefault="000455F6" w:rsidP="00B21B6B">
      <w:pPr>
        <w:tabs>
          <w:tab w:val="left" w:pos="360"/>
        </w:tabs>
        <w:overflowPunct w:val="0"/>
        <w:autoSpaceDE w:val="0"/>
        <w:autoSpaceDN w:val="0"/>
        <w:adjustRightInd w:val="0"/>
        <w:spacing w:line="480" w:lineRule="auto"/>
        <w:ind w:left="-360"/>
        <w:jc w:val="center"/>
        <w:textAlignment w:val="baseline"/>
        <w:rPr>
          <w:color w:val="000000"/>
          <w:highlight w:val="yellow"/>
        </w:rPr>
      </w:pPr>
      <w:r w:rsidRPr="007E1727">
        <w:rPr>
          <w:color w:val="000000"/>
        </w:rPr>
        <w:br w:type="page"/>
      </w:r>
      <w:r w:rsidRPr="007E1727">
        <w:rPr>
          <w:b/>
          <w:color w:val="000000"/>
        </w:rPr>
        <w:lastRenderedPageBreak/>
        <w:t>References</w:t>
      </w:r>
    </w:p>
    <w:p w14:paraId="260F48D8" w14:textId="77777777" w:rsidR="007F553C" w:rsidRPr="007F553C" w:rsidRDefault="007F553C" w:rsidP="007F553C">
      <w:pPr>
        <w:spacing w:line="480" w:lineRule="auto"/>
        <w:ind w:left="1077" w:hanging="720"/>
        <w:rPr>
          <w:color w:val="000000"/>
        </w:rPr>
      </w:pPr>
      <w:r w:rsidRPr="007F553C">
        <w:rPr>
          <w:color w:val="000000"/>
        </w:rPr>
        <w:t xml:space="preserve">Ashraf, M., Choudhary, P., &amp; Jaggi, J. (2024). Are audit committees overloaded? </w:t>
      </w:r>
      <w:proofErr w:type="gramStart"/>
      <w:r w:rsidRPr="007F553C">
        <w:rPr>
          <w:color w:val="000000"/>
        </w:rPr>
        <w:t>evidence</w:t>
      </w:r>
      <w:proofErr w:type="gramEnd"/>
      <w:r w:rsidRPr="007F553C">
        <w:rPr>
          <w:color w:val="000000"/>
        </w:rPr>
        <w:t xml:space="preserve"> from the effect of financial risk management oversight on financial reporting quality.</w:t>
      </w:r>
      <w:r w:rsidRPr="007F553C">
        <w:rPr>
          <w:i/>
          <w:iCs/>
          <w:color w:val="000000"/>
        </w:rPr>
        <w:t> Management Science, 70</w:t>
      </w:r>
      <w:r w:rsidRPr="007F553C">
        <w:rPr>
          <w:color w:val="000000"/>
        </w:rPr>
        <w:t>(12), 8414-8447. </w:t>
      </w:r>
      <w:hyperlink r:id="rId8" w:tgtFrame="_blank" w:history="1">
        <w:r w:rsidRPr="007F553C">
          <w:rPr>
            <w:rStyle w:val="Hyperlink"/>
          </w:rPr>
          <w:t>https://doi.org/10.1287/mnsc.2022.00360</w:t>
        </w:r>
      </w:hyperlink>
    </w:p>
    <w:p w14:paraId="336A4077" w14:textId="77777777" w:rsidR="007F553C" w:rsidRPr="007F553C" w:rsidRDefault="007F553C" w:rsidP="007F553C">
      <w:pPr>
        <w:spacing w:line="480" w:lineRule="auto"/>
        <w:ind w:left="1077" w:hanging="720"/>
        <w:rPr>
          <w:color w:val="000000"/>
        </w:rPr>
      </w:pPr>
      <w:proofErr w:type="spellStart"/>
      <w:r w:rsidRPr="007F553C">
        <w:rPr>
          <w:color w:val="000000"/>
        </w:rPr>
        <w:t>Festing</w:t>
      </w:r>
      <w:proofErr w:type="spellEnd"/>
      <w:r w:rsidRPr="007F553C">
        <w:rPr>
          <w:color w:val="000000"/>
        </w:rPr>
        <w:t xml:space="preserve">, M., </w:t>
      </w:r>
      <w:proofErr w:type="spellStart"/>
      <w:r w:rsidRPr="007F553C">
        <w:rPr>
          <w:color w:val="000000"/>
        </w:rPr>
        <w:t>Ballnat</w:t>
      </w:r>
      <w:proofErr w:type="spellEnd"/>
      <w:r w:rsidRPr="007F553C">
        <w:rPr>
          <w:color w:val="000000"/>
        </w:rPr>
        <w:t xml:space="preserve">, A., </w:t>
      </w:r>
      <w:proofErr w:type="spellStart"/>
      <w:r w:rsidRPr="007F553C">
        <w:rPr>
          <w:color w:val="000000"/>
        </w:rPr>
        <w:t>Aluchna</w:t>
      </w:r>
      <w:proofErr w:type="spellEnd"/>
      <w:r w:rsidRPr="007F553C">
        <w:rPr>
          <w:color w:val="000000"/>
        </w:rPr>
        <w:t xml:space="preserve">, M., </w:t>
      </w:r>
      <w:proofErr w:type="spellStart"/>
      <w:r w:rsidRPr="007F553C">
        <w:rPr>
          <w:color w:val="000000"/>
        </w:rPr>
        <w:t>Bohdanowicz</w:t>
      </w:r>
      <w:proofErr w:type="spellEnd"/>
      <w:r w:rsidRPr="007F553C">
        <w:rPr>
          <w:color w:val="000000"/>
        </w:rPr>
        <w:t xml:space="preserve">, L., </w:t>
      </w:r>
      <w:proofErr w:type="spellStart"/>
      <w:r w:rsidRPr="007F553C">
        <w:rPr>
          <w:color w:val="000000"/>
        </w:rPr>
        <w:t>Jastrzębska</w:t>
      </w:r>
      <w:proofErr w:type="spellEnd"/>
      <w:r w:rsidRPr="007F553C">
        <w:rPr>
          <w:color w:val="000000"/>
        </w:rPr>
        <w:t xml:space="preserve">, E., Roszkowska-Menkes, M., </w:t>
      </w:r>
      <w:proofErr w:type="spellStart"/>
      <w:r w:rsidRPr="007F553C">
        <w:rPr>
          <w:color w:val="000000"/>
        </w:rPr>
        <w:t>Sahakiants</w:t>
      </w:r>
      <w:proofErr w:type="spellEnd"/>
      <w:r w:rsidRPr="007F553C">
        <w:rPr>
          <w:color w:val="000000"/>
        </w:rPr>
        <w:t xml:space="preserve">, I., &amp; Steger, T. (2025). Organizational responses to non-financial reporting legislation in </w:t>
      </w:r>
      <w:proofErr w:type="spellStart"/>
      <w:r w:rsidRPr="007F553C">
        <w:rPr>
          <w:color w:val="000000"/>
        </w:rPr>
        <w:t>germany</w:t>
      </w:r>
      <w:proofErr w:type="spellEnd"/>
      <w:r w:rsidRPr="007F553C">
        <w:rPr>
          <w:color w:val="000000"/>
        </w:rPr>
        <w:t xml:space="preserve"> and Poland—Qualitative study and explanatory framework.</w:t>
      </w:r>
      <w:r w:rsidRPr="007F553C">
        <w:rPr>
          <w:i/>
          <w:iCs/>
          <w:color w:val="000000"/>
        </w:rPr>
        <w:t> European Management Journal, 43</w:t>
      </w:r>
      <w:r w:rsidRPr="007F553C">
        <w:rPr>
          <w:color w:val="000000"/>
        </w:rPr>
        <w:t>(3), 351-365. </w:t>
      </w:r>
      <w:hyperlink r:id="rId9" w:tgtFrame="_blank" w:history="1">
        <w:r w:rsidRPr="007F553C">
          <w:rPr>
            <w:rStyle w:val="Hyperlink"/>
          </w:rPr>
          <w:t>https://doi.org/10.1016/j.emj.2024.12.006</w:t>
        </w:r>
      </w:hyperlink>
    </w:p>
    <w:p w14:paraId="0E37DF57" w14:textId="77777777" w:rsidR="007F553C" w:rsidRPr="007F553C" w:rsidRDefault="007F553C" w:rsidP="007F553C">
      <w:pPr>
        <w:spacing w:line="480" w:lineRule="auto"/>
        <w:ind w:left="1077" w:hanging="720"/>
        <w:rPr>
          <w:color w:val="000000"/>
        </w:rPr>
      </w:pPr>
      <w:proofErr w:type="spellStart"/>
      <w:r w:rsidRPr="007F553C">
        <w:rPr>
          <w:color w:val="000000"/>
        </w:rPr>
        <w:t>Megeid</w:t>
      </w:r>
      <w:proofErr w:type="spellEnd"/>
      <w:r w:rsidRPr="007F553C">
        <w:rPr>
          <w:color w:val="000000"/>
        </w:rPr>
        <w:t xml:space="preserve">, N. S. A. (2024). The impact of climate risk disclosure on financial performance, financial reporting and risk management: Evidence from </w:t>
      </w:r>
      <w:proofErr w:type="spellStart"/>
      <w:r w:rsidRPr="007F553C">
        <w:rPr>
          <w:color w:val="000000"/>
        </w:rPr>
        <w:t>egypt</w:t>
      </w:r>
      <w:proofErr w:type="spellEnd"/>
      <w:r w:rsidRPr="007F553C">
        <w:rPr>
          <w:color w:val="000000"/>
        </w:rPr>
        <w:t>.</w:t>
      </w:r>
      <w:r w:rsidRPr="007F553C">
        <w:rPr>
          <w:i/>
          <w:iCs/>
          <w:color w:val="000000"/>
        </w:rPr>
        <w:t> Future Business Journal, 10</w:t>
      </w:r>
      <w:r w:rsidRPr="007F553C">
        <w:rPr>
          <w:color w:val="000000"/>
        </w:rPr>
        <w:t>(1), 21-24. </w:t>
      </w:r>
      <w:hyperlink r:id="rId10" w:tgtFrame="_blank" w:history="1">
        <w:r w:rsidRPr="007F553C">
          <w:rPr>
            <w:rStyle w:val="Hyperlink"/>
          </w:rPr>
          <w:t>https://doi.org/10.1186/s43093-024-00309-5</w:t>
        </w:r>
      </w:hyperlink>
    </w:p>
    <w:p w14:paraId="107FB25F" w14:textId="77777777" w:rsidR="007F553C" w:rsidRPr="007F553C" w:rsidRDefault="007F553C" w:rsidP="007F553C">
      <w:pPr>
        <w:spacing w:line="480" w:lineRule="auto"/>
        <w:ind w:left="1077" w:hanging="720"/>
        <w:rPr>
          <w:color w:val="000000"/>
        </w:rPr>
      </w:pPr>
      <w:r w:rsidRPr="007F553C">
        <w:rPr>
          <w:color w:val="000000"/>
        </w:rPr>
        <w:t xml:space="preserve">Naidu, D., &amp; </w:t>
      </w:r>
      <w:proofErr w:type="spellStart"/>
      <w:r w:rsidRPr="007F553C">
        <w:rPr>
          <w:color w:val="000000"/>
        </w:rPr>
        <w:t>Ranjeeni</w:t>
      </w:r>
      <w:proofErr w:type="spellEnd"/>
      <w:r w:rsidRPr="007F553C">
        <w:rPr>
          <w:color w:val="000000"/>
        </w:rPr>
        <w:t>, K. (2024). Is customers’ financial reporting quality associated with suppliers’ decision to contract?</w:t>
      </w:r>
      <w:r w:rsidRPr="007F553C">
        <w:rPr>
          <w:i/>
          <w:iCs/>
          <w:color w:val="000000"/>
        </w:rPr>
        <w:t> The Accounting Review, 99</w:t>
      </w:r>
      <w:r w:rsidRPr="007F553C">
        <w:rPr>
          <w:color w:val="000000"/>
        </w:rPr>
        <w:t>(6), 325-350. </w:t>
      </w:r>
      <w:hyperlink r:id="rId11" w:tgtFrame="_blank" w:history="1">
        <w:r w:rsidRPr="007F553C">
          <w:rPr>
            <w:rStyle w:val="Hyperlink"/>
          </w:rPr>
          <w:t>https://doi.org/10.2308/TAR-2021-0652</w:t>
        </w:r>
      </w:hyperlink>
    </w:p>
    <w:p w14:paraId="0DEAAEF9" w14:textId="77777777" w:rsidR="007F553C" w:rsidRPr="007F553C" w:rsidRDefault="007F553C" w:rsidP="007F553C">
      <w:pPr>
        <w:spacing w:line="480" w:lineRule="auto"/>
        <w:ind w:left="1077" w:hanging="720"/>
        <w:rPr>
          <w:color w:val="000000"/>
        </w:rPr>
      </w:pPr>
      <w:r w:rsidRPr="007F553C">
        <w:rPr>
          <w:color w:val="000000"/>
        </w:rPr>
        <w:t>Zhang, H., Charlie Sohn, B., &amp; Zhang, K. (2025). Financial reporting during gloomy days: Air pollution and real earnings management.</w:t>
      </w:r>
      <w:r w:rsidRPr="007F553C">
        <w:rPr>
          <w:i/>
          <w:iCs/>
          <w:color w:val="000000"/>
        </w:rPr>
        <w:t> Journal of Accounting and Public Policy, 50</w:t>
      </w:r>
      <w:r w:rsidRPr="007F553C">
        <w:rPr>
          <w:color w:val="000000"/>
        </w:rPr>
        <w:t>, 107283. </w:t>
      </w:r>
      <w:hyperlink r:id="rId12" w:tgtFrame="_blank" w:history="1">
        <w:r w:rsidRPr="007F553C">
          <w:rPr>
            <w:rStyle w:val="Hyperlink"/>
          </w:rPr>
          <w:t>https://doi.org/10.1016/j.jaccpubpol.2025.107283</w:t>
        </w:r>
      </w:hyperlink>
    </w:p>
    <w:p w14:paraId="397BB9CE" w14:textId="77777777" w:rsidR="007F553C" w:rsidRPr="007E1727" w:rsidRDefault="007F553C" w:rsidP="00B224B6">
      <w:pPr>
        <w:spacing w:line="480" w:lineRule="auto"/>
        <w:rPr>
          <w:color w:val="000000"/>
        </w:rPr>
      </w:pPr>
    </w:p>
    <w:p w14:paraId="0C520018" w14:textId="77777777" w:rsidR="00A42F13" w:rsidRPr="007E1727" w:rsidRDefault="00A42F13" w:rsidP="00B224B6">
      <w:pPr>
        <w:spacing w:line="480" w:lineRule="auto"/>
        <w:jc w:val="center"/>
        <w:rPr>
          <w:color w:val="000000"/>
        </w:rPr>
      </w:pPr>
    </w:p>
    <w:sectPr w:rsidR="00A42F13" w:rsidRPr="007E1727" w:rsidSect="002830B3">
      <w:headerReference w:type="defaul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6EF9" w14:textId="77777777" w:rsidR="00457073" w:rsidRDefault="00457073">
      <w:r>
        <w:separator/>
      </w:r>
    </w:p>
  </w:endnote>
  <w:endnote w:type="continuationSeparator" w:id="0">
    <w:p w14:paraId="0F8A57DF" w14:textId="77777777" w:rsidR="00457073" w:rsidRDefault="0045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7E510" w14:textId="77777777" w:rsidR="00457073" w:rsidRDefault="00457073">
      <w:r>
        <w:separator/>
      </w:r>
    </w:p>
  </w:footnote>
  <w:footnote w:type="continuationSeparator" w:id="0">
    <w:p w14:paraId="3CC0832B" w14:textId="77777777" w:rsidR="00457073" w:rsidRDefault="0045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E0E2" w14:textId="77777777" w:rsidR="00653666" w:rsidRDefault="00653666" w:rsidP="00026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0ECDF87A" w14:textId="1AB29222" w:rsidR="00653666" w:rsidRPr="00352E8D" w:rsidRDefault="0079639B" w:rsidP="003F5158">
    <w:pPr>
      <w:pStyle w:val="Header"/>
      <w:ind w:right="360"/>
      <w:rPr>
        <w:sz w:val="22"/>
        <w:szCs w:val="22"/>
      </w:rPr>
    </w:pPr>
    <w:r>
      <w:t>ACC501</w:t>
    </w:r>
    <w:r w:rsidR="00653666">
      <w:t xml:space="preserve"> Case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9B5"/>
    <w:multiLevelType w:val="multilevel"/>
    <w:tmpl w:val="D950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63C7F"/>
    <w:multiLevelType w:val="hybridMultilevel"/>
    <w:tmpl w:val="3C82A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65AE"/>
    <w:multiLevelType w:val="multilevel"/>
    <w:tmpl w:val="062A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E1B75"/>
    <w:multiLevelType w:val="multilevel"/>
    <w:tmpl w:val="0F9E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D4A11"/>
    <w:multiLevelType w:val="multilevel"/>
    <w:tmpl w:val="8A6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314AD"/>
    <w:multiLevelType w:val="hybridMultilevel"/>
    <w:tmpl w:val="D9B0D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9D61414"/>
    <w:multiLevelType w:val="hybridMultilevel"/>
    <w:tmpl w:val="E4FC4B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4F31AE"/>
    <w:multiLevelType w:val="multilevel"/>
    <w:tmpl w:val="2E30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532818"/>
    <w:multiLevelType w:val="multilevel"/>
    <w:tmpl w:val="AD3EB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0B0726"/>
    <w:multiLevelType w:val="hybridMultilevel"/>
    <w:tmpl w:val="CCEAB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D75F4"/>
    <w:multiLevelType w:val="hybridMultilevel"/>
    <w:tmpl w:val="C8BA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2590531"/>
    <w:multiLevelType w:val="multilevel"/>
    <w:tmpl w:val="A4A6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F63B5E"/>
    <w:multiLevelType w:val="hybridMultilevel"/>
    <w:tmpl w:val="83EC6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983B43"/>
    <w:multiLevelType w:val="hybridMultilevel"/>
    <w:tmpl w:val="84C8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D4747B"/>
    <w:multiLevelType w:val="hybridMultilevel"/>
    <w:tmpl w:val="9A92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42AEE"/>
    <w:multiLevelType w:val="multilevel"/>
    <w:tmpl w:val="50AE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1D7AE0"/>
    <w:multiLevelType w:val="hybridMultilevel"/>
    <w:tmpl w:val="A552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54E86"/>
    <w:multiLevelType w:val="hybridMultilevel"/>
    <w:tmpl w:val="49E8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54AB3"/>
    <w:multiLevelType w:val="multilevel"/>
    <w:tmpl w:val="D566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2A0175"/>
    <w:multiLevelType w:val="hybridMultilevel"/>
    <w:tmpl w:val="466E5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193867"/>
    <w:multiLevelType w:val="multilevel"/>
    <w:tmpl w:val="EA70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30182F"/>
    <w:multiLevelType w:val="multilevel"/>
    <w:tmpl w:val="D6D8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616E79"/>
    <w:multiLevelType w:val="multilevel"/>
    <w:tmpl w:val="E0A0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2F2917"/>
    <w:multiLevelType w:val="hybridMultilevel"/>
    <w:tmpl w:val="235A8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4A8D6E">
      <w:numFmt w:val="bullet"/>
      <w:lvlText w:val="•"/>
      <w:lvlJc w:val="left"/>
      <w:pPr>
        <w:ind w:left="2520" w:hanging="72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8C2640"/>
    <w:multiLevelType w:val="hybridMultilevel"/>
    <w:tmpl w:val="17F8C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437F63"/>
    <w:multiLevelType w:val="hybridMultilevel"/>
    <w:tmpl w:val="F36A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20004"/>
    <w:multiLevelType w:val="hybridMultilevel"/>
    <w:tmpl w:val="6C9C3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97ACC"/>
    <w:multiLevelType w:val="hybridMultilevel"/>
    <w:tmpl w:val="7E56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6181D"/>
    <w:multiLevelType w:val="hybridMultilevel"/>
    <w:tmpl w:val="6D1E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55199D"/>
    <w:multiLevelType w:val="hybridMultilevel"/>
    <w:tmpl w:val="9D321D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E4303"/>
    <w:multiLevelType w:val="multilevel"/>
    <w:tmpl w:val="24F6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C461F5"/>
    <w:multiLevelType w:val="multilevel"/>
    <w:tmpl w:val="998C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101DB5"/>
    <w:multiLevelType w:val="multilevel"/>
    <w:tmpl w:val="9BE0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3C53E9"/>
    <w:multiLevelType w:val="hybridMultilevel"/>
    <w:tmpl w:val="9C5CF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3854DAD"/>
    <w:multiLevelType w:val="multilevel"/>
    <w:tmpl w:val="75F2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4A7DA7"/>
    <w:multiLevelType w:val="hybridMultilevel"/>
    <w:tmpl w:val="ACB4F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04D48"/>
    <w:multiLevelType w:val="hybridMultilevel"/>
    <w:tmpl w:val="6B76E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60D51"/>
    <w:multiLevelType w:val="hybridMultilevel"/>
    <w:tmpl w:val="B63A3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21ED9"/>
    <w:multiLevelType w:val="multilevel"/>
    <w:tmpl w:val="4A367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7446CB"/>
    <w:multiLevelType w:val="hybridMultilevel"/>
    <w:tmpl w:val="49A816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29B1222"/>
    <w:multiLevelType w:val="multilevel"/>
    <w:tmpl w:val="87DA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2D85337"/>
    <w:multiLevelType w:val="hybridMultilevel"/>
    <w:tmpl w:val="42A65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320368"/>
    <w:multiLevelType w:val="hybridMultilevel"/>
    <w:tmpl w:val="DC94C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C46A98"/>
    <w:multiLevelType w:val="multilevel"/>
    <w:tmpl w:val="102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593D2C"/>
    <w:multiLevelType w:val="hybridMultilevel"/>
    <w:tmpl w:val="2610A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C31EBA"/>
    <w:multiLevelType w:val="hybridMultilevel"/>
    <w:tmpl w:val="E7229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C32DC0"/>
    <w:multiLevelType w:val="hybridMultilevel"/>
    <w:tmpl w:val="D3C0E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F64B91"/>
    <w:multiLevelType w:val="multilevel"/>
    <w:tmpl w:val="6E20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DC620CC"/>
    <w:multiLevelType w:val="hybridMultilevel"/>
    <w:tmpl w:val="B6A2E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FA735E4"/>
    <w:multiLevelType w:val="multilevel"/>
    <w:tmpl w:val="5150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2A97C58"/>
    <w:multiLevelType w:val="hybridMultilevel"/>
    <w:tmpl w:val="24BA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3A31DD"/>
    <w:multiLevelType w:val="hybridMultilevel"/>
    <w:tmpl w:val="602E3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47E59FD"/>
    <w:multiLevelType w:val="multilevel"/>
    <w:tmpl w:val="F2C6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9C72876"/>
    <w:multiLevelType w:val="hybridMultilevel"/>
    <w:tmpl w:val="015A41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DF5753F"/>
    <w:multiLevelType w:val="multilevel"/>
    <w:tmpl w:val="6B82C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ED1B21"/>
    <w:multiLevelType w:val="multilevel"/>
    <w:tmpl w:val="FEB4F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995848"/>
    <w:multiLevelType w:val="hybridMultilevel"/>
    <w:tmpl w:val="369412D2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453234">
    <w:abstractNumId w:val="29"/>
  </w:num>
  <w:num w:numId="2" w16cid:durableId="1120807250">
    <w:abstractNumId w:val="11"/>
  </w:num>
  <w:num w:numId="3" w16cid:durableId="1316758839">
    <w:abstractNumId w:val="26"/>
  </w:num>
  <w:num w:numId="4" w16cid:durableId="585841334">
    <w:abstractNumId w:val="46"/>
  </w:num>
  <w:num w:numId="5" w16cid:durableId="935283775">
    <w:abstractNumId w:val="3"/>
  </w:num>
  <w:num w:numId="6" w16cid:durableId="1553347218">
    <w:abstractNumId w:val="51"/>
  </w:num>
  <w:num w:numId="7" w16cid:durableId="284702284">
    <w:abstractNumId w:val="48"/>
  </w:num>
  <w:num w:numId="8" w16cid:durableId="526450868">
    <w:abstractNumId w:val="17"/>
  </w:num>
  <w:num w:numId="9" w16cid:durableId="758646836">
    <w:abstractNumId w:val="4"/>
  </w:num>
  <w:num w:numId="10" w16cid:durableId="617224895">
    <w:abstractNumId w:val="35"/>
  </w:num>
  <w:num w:numId="11" w16cid:durableId="889733543">
    <w:abstractNumId w:val="6"/>
  </w:num>
  <w:num w:numId="12" w16cid:durableId="1952976182">
    <w:abstractNumId w:val="49"/>
  </w:num>
  <w:num w:numId="13" w16cid:durableId="1081410631">
    <w:abstractNumId w:val="50"/>
  </w:num>
  <w:num w:numId="14" w16cid:durableId="1762096235">
    <w:abstractNumId w:val="43"/>
  </w:num>
  <w:num w:numId="15" w16cid:durableId="348679622">
    <w:abstractNumId w:val="55"/>
  </w:num>
  <w:num w:numId="16" w16cid:durableId="411855123">
    <w:abstractNumId w:val="40"/>
  </w:num>
  <w:num w:numId="17" w16cid:durableId="1513911860">
    <w:abstractNumId w:val="56"/>
  </w:num>
  <w:num w:numId="18" w16cid:durableId="1600328119">
    <w:abstractNumId w:val="12"/>
  </w:num>
  <w:num w:numId="19" w16cid:durableId="1536044335">
    <w:abstractNumId w:val="10"/>
  </w:num>
  <w:num w:numId="20" w16cid:durableId="127938499">
    <w:abstractNumId w:val="19"/>
  </w:num>
  <w:num w:numId="21" w16cid:durableId="1370373366">
    <w:abstractNumId w:val="41"/>
  </w:num>
  <w:num w:numId="22" w16cid:durableId="1499155493">
    <w:abstractNumId w:val="13"/>
  </w:num>
  <w:num w:numId="23" w16cid:durableId="1982419174">
    <w:abstractNumId w:val="44"/>
  </w:num>
  <w:num w:numId="24" w16cid:durableId="1382436871">
    <w:abstractNumId w:val="5"/>
  </w:num>
  <w:num w:numId="25" w16cid:durableId="121467249">
    <w:abstractNumId w:val="53"/>
  </w:num>
  <w:num w:numId="26" w16cid:durableId="1430809192">
    <w:abstractNumId w:val="39"/>
  </w:num>
  <w:num w:numId="27" w16cid:durableId="1872183926">
    <w:abstractNumId w:val="15"/>
  </w:num>
  <w:num w:numId="28" w16cid:durableId="402945445">
    <w:abstractNumId w:val="7"/>
  </w:num>
  <w:num w:numId="29" w16cid:durableId="1280523971">
    <w:abstractNumId w:val="54"/>
  </w:num>
  <w:num w:numId="30" w16cid:durableId="1285698719">
    <w:abstractNumId w:val="24"/>
  </w:num>
  <w:num w:numId="31" w16cid:durableId="640697024">
    <w:abstractNumId w:val="1"/>
  </w:num>
  <w:num w:numId="32" w16cid:durableId="60761756">
    <w:abstractNumId w:val="16"/>
  </w:num>
  <w:num w:numId="33" w16cid:durableId="1971284657">
    <w:abstractNumId w:val="25"/>
  </w:num>
  <w:num w:numId="34" w16cid:durableId="805585042">
    <w:abstractNumId w:val="28"/>
  </w:num>
  <w:num w:numId="35" w16cid:durableId="140002026">
    <w:abstractNumId w:val="42"/>
  </w:num>
  <w:num w:numId="36" w16cid:durableId="1383485809">
    <w:abstractNumId w:val="45"/>
  </w:num>
  <w:num w:numId="37" w16cid:durableId="52504503">
    <w:abstractNumId w:val="14"/>
  </w:num>
  <w:num w:numId="38" w16cid:durableId="188421103">
    <w:abstractNumId w:val="27"/>
  </w:num>
  <w:num w:numId="39" w16cid:durableId="2066709337">
    <w:abstractNumId w:val="37"/>
  </w:num>
  <w:num w:numId="40" w16cid:durableId="1885368783">
    <w:abstractNumId w:val="36"/>
  </w:num>
  <w:num w:numId="41" w16cid:durableId="201990191">
    <w:abstractNumId w:val="23"/>
  </w:num>
  <w:num w:numId="42" w16cid:durableId="1903787870">
    <w:abstractNumId w:val="9"/>
  </w:num>
  <w:num w:numId="43" w16cid:durableId="257301044">
    <w:abstractNumId w:val="31"/>
  </w:num>
  <w:num w:numId="44" w16cid:durableId="1047874273">
    <w:abstractNumId w:val="47"/>
  </w:num>
  <w:num w:numId="45" w16cid:durableId="116340380">
    <w:abstractNumId w:val="34"/>
  </w:num>
  <w:num w:numId="46" w16cid:durableId="892234309">
    <w:abstractNumId w:val="22"/>
  </w:num>
  <w:num w:numId="47" w16cid:durableId="1945727577">
    <w:abstractNumId w:val="20"/>
  </w:num>
  <w:num w:numId="48" w16cid:durableId="19744579">
    <w:abstractNumId w:val="2"/>
  </w:num>
  <w:num w:numId="49" w16cid:durableId="611546946">
    <w:abstractNumId w:val="8"/>
  </w:num>
  <w:num w:numId="50" w16cid:durableId="1555584020">
    <w:abstractNumId w:val="52"/>
  </w:num>
  <w:num w:numId="51" w16cid:durableId="792019678">
    <w:abstractNumId w:val="32"/>
  </w:num>
  <w:num w:numId="52" w16cid:durableId="851066838">
    <w:abstractNumId w:val="0"/>
  </w:num>
  <w:num w:numId="53" w16cid:durableId="1494763804">
    <w:abstractNumId w:val="18"/>
  </w:num>
  <w:num w:numId="54" w16cid:durableId="1359547733">
    <w:abstractNumId w:val="38"/>
  </w:num>
  <w:num w:numId="55" w16cid:durableId="1009410977">
    <w:abstractNumId w:val="21"/>
  </w:num>
  <w:num w:numId="56" w16cid:durableId="1835756932">
    <w:abstractNumId w:val="30"/>
  </w:num>
  <w:num w:numId="57" w16cid:durableId="27436562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DQ0MzYztzC3MDE0MDFR0lEKTi0uzszPAykwNqkFAKv9ZLwtAAAA"/>
  </w:docVars>
  <w:rsids>
    <w:rsidRoot w:val="0050433C"/>
    <w:rsid w:val="00026142"/>
    <w:rsid w:val="00034325"/>
    <w:rsid w:val="0003472F"/>
    <w:rsid w:val="000455F6"/>
    <w:rsid w:val="00047143"/>
    <w:rsid w:val="000511FA"/>
    <w:rsid w:val="0006074E"/>
    <w:rsid w:val="00081629"/>
    <w:rsid w:val="00085C7F"/>
    <w:rsid w:val="00096202"/>
    <w:rsid w:val="000A198A"/>
    <w:rsid w:val="000A39A9"/>
    <w:rsid w:val="000B008D"/>
    <w:rsid w:val="000B218C"/>
    <w:rsid w:val="000B6AD6"/>
    <w:rsid w:val="000C144F"/>
    <w:rsid w:val="000C1741"/>
    <w:rsid w:val="000C6AD9"/>
    <w:rsid w:val="000E0F36"/>
    <w:rsid w:val="000F1641"/>
    <w:rsid w:val="00106FDE"/>
    <w:rsid w:val="001147C1"/>
    <w:rsid w:val="00122C18"/>
    <w:rsid w:val="00131A1B"/>
    <w:rsid w:val="001377D4"/>
    <w:rsid w:val="00147909"/>
    <w:rsid w:val="00150EEF"/>
    <w:rsid w:val="00154F49"/>
    <w:rsid w:val="00163836"/>
    <w:rsid w:val="00167D67"/>
    <w:rsid w:val="001758DE"/>
    <w:rsid w:val="00182003"/>
    <w:rsid w:val="001A55A9"/>
    <w:rsid w:val="001B6168"/>
    <w:rsid w:val="001D090F"/>
    <w:rsid w:val="001D1CD9"/>
    <w:rsid w:val="001D51E9"/>
    <w:rsid w:val="001F40F3"/>
    <w:rsid w:val="0020174B"/>
    <w:rsid w:val="0020241D"/>
    <w:rsid w:val="00211094"/>
    <w:rsid w:val="0021351E"/>
    <w:rsid w:val="002439C9"/>
    <w:rsid w:val="00253713"/>
    <w:rsid w:val="00256256"/>
    <w:rsid w:val="00263FEE"/>
    <w:rsid w:val="002830B3"/>
    <w:rsid w:val="00286395"/>
    <w:rsid w:val="002A2C9F"/>
    <w:rsid w:val="002B31CF"/>
    <w:rsid w:val="002B4B55"/>
    <w:rsid w:val="002B6BFA"/>
    <w:rsid w:val="002C00BE"/>
    <w:rsid w:val="002C7462"/>
    <w:rsid w:val="002D755D"/>
    <w:rsid w:val="002E6180"/>
    <w:rsid w:val="002F41F5"/>
    <w:rsid w:val="002F7DEF"/>
    <w:rsid w:val="00302BC5"/>
    <w:rsid w:val="00312827"/>
    <w:rsid w:val="00327F78"/>
    <w:rsid w:val="00352229"/>
    <w:rsid w:val="00352E8D"/>
    <w:rsid w:val="00354C36"/>
    <w:rsid w:val="00356E85"/>
    <w:rsid w:val="00361978"/>
    <w:rsid w:val="00364629"/>
    <w:rsid w:val="00364C68"/>
    <w:rsid w:val="003A0026"/>
    <w:rsid w:val="003A1801"/>
    <w:rsid w:val="003B7948"/>
    <w:rsid w:val="003C7F15"/>
    <w:rsid w:val="003D6821"/>
    <w:rsid w:val="003E42AB"/>
    <w:rsid w:val="003E5F3A"/>
    <w:rsid w:val="003F2F65"/>
    <w:rsid w:val="003F3719"/>
    <w:rsid w:val="003F5158"/>
    <w:rsid w:val="003F62B7"/>
    <w:rsid w:val="00403444"/>
    <w:rsid w:val="00415754"/>
    <w:rsid w:val="00420274"/>
    <w:rsid w:val="00422016"/>
    <w:rsid w:val="00425A9A"/>
    <w:rsid w:val="00430195"/>
    <w:rsid w:val="00436393"/>
    <w:rsid w:val="00440095"/>
    <w:rsid w:val="0044069F"/>
    <w:rsid w:val="0044112E"/>
    <w:rsid w:val="00454CAF"/>
    <w:rsid w:val="00456686"/>
    <w:rsid w:val="00457073"/>
    <w:rsid w:val="004578EE"/>
    <w:rsid w:val="004604B1"/>
    <w:rsid w:val="00466700"/>
    <w:rsid w:val="0047025A"/>
    <w:rsid w:val="004853C2"/>
    <w:rsid w:val="00492DCE"/>
    <w:rsid w:val="0049530B"/>
    <w:rsid w:val="004A3C8E"/>
    <w:rsid w:val="004A7AC5"/>
    <w:rsid w:val="004C1298"/>
    <w:rsid w:val="004C5ED0"/>
    <w:rsid w:val="00502A2F"/>
    <w:rsid w:val="00503805"/>
    <w:rsid w:val="005040FF"/>
    <w:rsid w:val="0050433C"/>
    <w:rsid w:val="0050489F"/>
    <w:rsid w:val="00522766"/>
    <w:rsid w:val="00527508"/>
    <w:rsid w:val="00530A67"/>
    <w:rsid w:val="0053493C"/>
    <w:rsid w:val="005412E4"/>
    <w:rsid w:val="005511A8"/>
    <w:rsid w:val="0055467F"/>
    <w:rsid w:val="00561A56"/>
    <w:rsid w:val="00565081"/>
    <w:rsid w:val="00573F97"/>
    <w:rsid w:val="0057635E"/>
    <w:rsid w:val="00581CE2"/>
    <w:rsid w:val="00595B65"/>
    <w:rsid w:val="005A555C"/>
    <w:rsid w:val="005C4B3D"/>
    <w:rsid w:val="005E5214"/>
    <w:rsid w:val="005E5984"/>
    <w:rsid w:val="005F2027"/>
    <w:rsid w:val="005F3678"/>
    <w:rsid w:val="005F75ED"/>
    <w:rsid w:val="0060394A"/>
    <w:rsid w:val="006124DB"/>
    <w:rsid w:val="00614C45"/>
    <w:rsid w:val="00625523"/>
    <w:rsid w:val="006416F4"/>
    <w:rsid w:val="006431F1"/>
    <w:rsid w:val="00653666"/>
    <w:rsid w:val="00656206"/>
    <w:rsid w:val="00660724"/>
    <w:rsid w:val="006624AB"/>
    <w:rsid w:val="00671116"/>
    <w:rsid w:val="00672D33"/>
    <w:rsid w:val="006730B0"/>
    <w:rsid w:val="00674A8C"/>
    <w:rsid w:val="006A5C5E"/>
    <w:rsid w:val="006B25B5"/>
    <w:rsid w:val="006B413A"/>
    <w:rsid w:val="006C2B3E"/>
    <w:rsid w:val="006E1EF5"/>
    <w:rsid w:val="006F527A"/>
    <w:rsid w:val="0070200D"/>
    <w:rsid w:val="00711DC4"/>
    <w:rsid w:val="0075015A"/>
    <w:rsid w:val="007572B6"/>
    <w:rsid w:val="00770CA0"/>
    <w:rsid w:val="0079639B"/>
    <w:rsid w:val="007A1B1F"/>
    <w:rsid w:val="007B6003"/>
    <w:rsid w:val="007D1376"/>
    <w:rsid w:val="007E1727"/>
    <w:rsid w:val="007F553C"/>
    <w:rsid w:val="007F79BB"/>
    <w:rsid w:val="008026AA"/>
    <w:rsid w:val="0081017D"/>
    <w:rsid w:val="0081707E"/>
    <w:rsid w:val="00824636"/>
    <w:rsid w:val="008255DE"/>
    <w:rsid w:val="00841A9E"/>
    <w:rsid w:val="00841F4A"/>
    <w:rsid w:val="00844EE7"/>
    <w:rsid w:val="00854C46"/>
    <w:rsid w:val="00873554"/>
    <w:rsid w:val="00880C08"/>
    <w:rsid w:val="00883AAD"/>
    <w:rsid w:val="00896609"/>
    <w:rsid w:val="008A084D"/>
    <w:rsid w:val="008B7F59"/>
    <w:rsid w:val="008C7966"/>
    <w:rsid w:val="008D23AA"/>
    <w:rsid w:val="008D2859"/>
    <w:rsid w:val="008D3F0D"/>
    <w:rsid w:val="008D5C02"/>
    <w:rsid w:val="008E469D"/>
    <w:rsid w:val="008F74C4"/>
    <w:rsid w:val="009007D4"/>
    <w:rsid w:val="0091254D"/>
    <w:rsid w:val="009247A1"/>
    <w:rsid w:val="0094570E"/>
    <w:rsid w:val="00954A41"/>
    <w:rsid w:val="00960B22"/>
    <w:rsid w:val="009632A1"/>
    <w:rsid w:val="00964FF8"/>
    <w:rsid w:val="009749F9"/>
    <w:rsid w:val="009758CD"/>
    <w:rsid w:val="00977C3F"/>
    <w:rsid w:val="00990C99"/>
    <w:rsid w:val="00991A50"/>
    <w:rsid w:val="009A3DEA"/>
    <w:rsid w:val="009B48D2"/>
    <w:rsid w:val="009B6C8F"/>
    <w:rsid w:val="009C36FD"/>
    <w:rsid w:val="009C743D"/>
    <w:rsid w:val="009D375B"/>
    <w:rsid w:val="009D378A"/>
    <w:rsid w:val="009E228A"/>
    <w:rsid w:val="00A00D2C"/>
    <w:rsid w:val="00A037C7"/>
    <w:rsid w:val="00A065E3"/>
    <w:rsid w:val="00A13576"/>
    <w:rsid w:val="00A142C3"/>
    <w:rsid w:val="00A1437D"/>
    <w:rsid w:val="00A225DF"/>
    <w:rsid w:val="00A27F42"/>
    <w:rsid w:val="00A37498"/>
    <w:rsid w:val="00A426A5"/>
    <w:rsid w:val="00A42F13"/>
    <w:rsid w:val="00A4532E"/>
    <w:rsid w:val="00A47689"/>
    <w:rsid w:val="00A6361F"/>
    <w:rsid w:val="00A725AF"/>
    <w:rsid w:val="00A75CFC"/>
    <w:rsid w:val="00A93CC1"/>
    <w:rsid w:val="00A95E3A"/>
    <w:rsid w:val="00AA3F20"/>
    <w:rsid w:val="00AB3DAE"/>
    <w:rsid w:val="00AC1008"/>
    <w:rsid w:val="00AD4FAC"/>
    <w:rsid w:val="00AE1D46"/>
    <w:rsid w:val="00AE3507"/>
    <w:rsid w:val="00B02092"/>
    <w:rsid w:val="00B02A05"/>
    <w:rsid w:val="00B02DD7"/>
    <w:rsid w:val="00B042E8"/>
    <w:rsid w:val="00B068A8"/>
    <w:rsid w:val="00B10C07"/>
    <w:rsid w:val="00B21B6B"/>
    <w:rsid w:val="00B224B6"/>
    <w:rsid w:val="00B22E3F"/>
    <w:rsid w:val="00B32F73"/>
    <w:rsid w:val="00B342B1"/>
    <w:rsid w:val="00B37F5A"/>
    <w:rsid w:val="00B4235C"/>
    <w:rsid w:val="00B46191"/>
    <w:rsid w:val="00B46D48"/>
    <w:rsid w:val="00B6023E"/>
    <w:rsid w:val="00B6034C"/>
    <w:rsid w:val="00B62A78"/>
    <w:rsid w:val="00B742AF"/>
    <w:rsid w:val="00B80515"/>
    <w:rsid w:val="00B8112C"/>
    <w:rsid w:val="00B87775"/>
    <w:rsid w:val="00B93D96"/>
    <w:rsid w:val="00BA21C5"/>
    <w:rsid w:val="00BD1C8D"/>
    <w:rsid w:val="00BD3733"/>
    <w:rsid w:val="00BD6FF4"/>
    <w:rsid w:val="00BE410C"/>
    <w:rsid w:val="00BF0F1B"/>
    <w:rsid w:val="00BF7C6E"/>
    <w:rsid w:val="00C004E5"/>
    <w:rsid w:val="00C16DDC"/>
    <w:rsid w:val="00C21C1C"/>
    <w:rsid w:val="00C22265"/>
    <w:rsid w:val="00C270FF"/>
    <w:rsid w:val="00C277CE"/>
    <w:rsid w:val="00C31727"/>
    <w:rsid w:val="00C51C2A"/>
    <w:rsid w:val="00C5533D"/>
    <w:rsid w:val="00C74F8E"/>
    <w:rsid w:val="00C769CD"/>
    <w:rsid w:val="00C863E2"/>
    <w:rsid w:val="00C9472F"/>
    <w:rsid w:val="00CA791D"/>
    <w:rsid w:val="00CC057E"/>
    <w:rsid w:val="00CC3628"/>
    <w:rsid w:val="00CD2528"/>
    <w:rsid w:val="00CE2E66"/>
    <w:rsid w:val="00CF070A"/>
    <w:rsid w:val="00CF088C"/>
    <w:rsid w:val="00D0108C"/>
    <w:rsid w:val="00D1153B"/>
    <w:rsid w:val="00D13AC0"/>
    <w:rsid w:val="00D172FE"/>
    <w:rsid w:val="00D200BF"/>
    <w:rsid w:val="00D47CA9"/>
    <w:rsid w:val="00D57D30"/>
    <w:rsid w:val="00D6768F"/>
    <w:rsid w:val="00D7332A"/>
    <w:rsid w:val="00D844B2"/>
    <w:rsid w:val="00D87258"/>
    <w:rsid w:val="00D96DDF"/>
    <w:rsid w:val="00DA07CA"/>
    <w:rsid w:val="00DB099B"/>
    <w:rsid w:val="00DB1CF9"/>
    <w:rsid w:val="00DB7248"/>
    <w:rsid w:val="00DD0C4D"/>
    <w:rsid w:val="00DE1A4A"/>
    <w:rsid w:val="00DE3706"/>
    <w:rsid w:val="00DE5909"/>
    <w:rsid w:val="00DE7652"/>
    <w:rsid w:val="00DF5ED9"/>
    <w:rsid w:val="00E026E0"/>
    <w:rsid w:val="00E046B3"/>
    <w:rsid w:val="00E062B8"/>
    <w:rsid w:val="00E347E9"/>
    <w:rsid w:val="00E40301"/>
    <w:rsid w:val="00E4493B"/>
    <w:rsid w:val="00E45724"/>
    <w:rsid w:val="00E45886"/>
    <w:rsid w:val="00E547D4"/>
    <w:rsid w:val="00E63F35"/>
    <w:rsid w:val="00E642BD"/>
    <w:rsid w:val="00E64AD3"/>
    <w:rsid w:val="00E65B61"/>
    <w:rsid w:val="00E75D3A"/>
    <w:rsid w:val="00E80CFF"/>
    <w:rsid w:val="00E940DC"/>
    <w:rsid w:val="00E94A62"/>
    <w:rsid w:val="00EB211C"/>
    <w:rsid w:val="00EB65C0"/>
    <w:rsid w:val="00EC03B6"/>
    <w:rsid w:val="00ED47C2"/>
    <w:rsid w:val="00ED6EF3"/>
    <w:rsid w:val="00ED7EAB"/>
    <w:rsid w:val="00EE51C9"/>
    <w:rsid w:val="00EF1655"/>
    <w:rsid w:val="00EF1CB2"/>
    <w:rsid w:val="00EF57CD"/>
    <w:rsid w:val="00F10A09"/>
    <w:rsid w:val="00F20699"/>
    <w:rsid w:val="00F2264B"/>
    <w:rsid w:val="00F257CE"/>
    <w:rsid w:val="00F31B75"/>
    <w:rsid w:val="00F35BE5"/>
    <w:rsid w:val="00F378C4"/>
    <w:rsid w:val="00F4191B"/>
    <w:rsid w:val="00F43BA1"/>
    <w:rsid w:val="00F468D1"/>
    <w:rsid w:val="00F62922"/>
    <w:rsid w:val="00F64DDA"/>
    <w:rsid w:val="00F7461E"/>
    <w:rsid w:val="00F84528"/>
    <w:rsid w:val="00F8489A"/>
    <w:rsid w:val="00F84D66"/>
    <w:rsid w:val="00F93AF8"/>
    <w:rsid w:val="00F96724"/>
    <w:rsid w:val="00F96D0F"/>
    <w:rsid w:val="00F96D5C"/>
    <w:rsid w:val="00FA5606"/>
    <w:rsid w:val="00FA5A4C"/>
    <w:rsid w:val="00FA7A69"/>
    <w:rsid w:val="00FD1EEE"/>
    <w:rsid w:val="00FE13EC"/>
    <w:rsid w:val="00FE67CC"/>
    <w:rsid w:val="00FF19B7"/>
    <w:rsid w:val="00FF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B7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D0F"/>
    <w:rPr>
      <w:sz w:val="24"/>
      <w:szCs w:val="24"/>
    </w:rPr>
  </w:style>
  <w:style w:type="paragraph" w:styleId="Heading1">
    <w:name w:val="heading 1"/>
    <w:basedOn w:val="Normal"/>
    <w:next w:val="Normal"/>
    <w:qFormat/>
    <w:rsid w:val="00DE7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03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77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043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33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0433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C6AD9"/>
    <w:rPr>
      <w:b/>
      <w:bCs/>
    </w:rPr>
  </w:style>
  <w:style w:type="paragraph" w:customStyle="1" w:styleId="TitlePage">
    <w:name w:val="TitlePage"/>
    <w:basedOn w:val="Normal"/>
    <w:rsid w:val="00561A56"/>
    <w:pPr>
      <w:tabs>
        <w:tab w:val="left" w:pos="576"/>
      </w:tabs>
      <w:overflowPunct w:val="0"/>
      <w:autoSpaceDE w:val="0"/>
      <w:autoSpaceDN w:val="0"/>
      <w:adjustRightInd w:val="0"/>
      <w:spacing w:line="480" w:lineRule="atLeast"/>
      <w:jc w:val="center"/>
      <w:textAlignment w:val="baseline"/>
    </w:pPr>
    <w:rPr>
      <w:rFonts w:ascii="Courier New" w:hAnsi="Courier New"/>
      <w:szCs w:val="20"/>
    </w:rPr>
  </w:style>
  <w:style w:type="paragraph" w:customStyle="1" w:styleId="References">
    <w:name w:val="References"/>
    <w:basedOn w:val="Normal"/>
    <w:rsid w:val="00561A56"/>
    <w:pPr>
      <w:keepLines/>
      <w:widowControl w:val="0"/>
      <w:tabs>
        <w:tab w:val="left" w:pos="576"/>
      </w:tabs>
      <w:overflowPunct w:val="0"/>
      <w:autoSpaceDE w:val="0"/>
      <w:autoSpaceDN w:val="0"/>
      <w:adjustRightInd w:val="0"/>
      <w:spacing w:line="480" w:lineRule="atLeast"/>
      <w:ind w:left="720" w:hanging="720"/>
      <w:textAlignment w:val="baseline"/>
    </w:pPr>
    <w:rPr>
      <w:rFonts w:ascii="Courier New" w:hAnsi="Courier New"/>
      <w:szCs w:val="20"/>
    </w:rPr>
  </w:style>
  <w:style w:type="paragraph" w:styleId="BalloonText">
    <w:name w:val="Balloon Text"/>
    <w:basedOn w:val="Normal"/>
    <w:semiHidden/>
    <w:rsid w:val="00561A5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61A56"/>
  </w:style>
  <w:style w:type="paragraph" w:styleId="NormalWeb">
    <w:name w:val="Normal (Web)"/>
    <w:basedOn w:val="Normal"/>
    <w:uiPriority w:val="99"/>
    <w:unhideWhenUsed/>
    <w:rsid w:val="0070200D"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sid w:val="00106FDE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2F13"/>
    <w:rPr>
      <w:i/>
      <w:iCs/>
    </w:rPr>
  </w:style>
  <w:style w:type="character" w:customStyle="1" w:styleId="medium-normal">
    <w:name w:val="medium-normal"/>
    <w:basedOn w:val="DefaultParagraphFont"/>
    <w:rsid w:val="00A42F13"/>
  </w:style>
  <w:style w:type="character" w:styleId="PlaceholderText">
    <w:name w:val="Placeholder Text"/>
    <w:basedOn w:val="DefaultParagraphFont"/>
    <w:uiPriority w:val="99"/>
    <w:semiHidden/>
    <w:rsid w:val="0053493C"/>
    <w:rPr>
      <w:color w:val="808080"/>
    </w:rPr>
  </w:style>
  <w:style w:type="character" w:customStyle="1" w:styleId="Style1">
    <w:name w:val="Style1"/>
    <w:basedOn w:val="DefaultParagraphFont"/>
    <w:uiPriority w:val="1"/>
    <w:rsid w:val="00F96D5C"/>
  </w:style>
  <w:style w:type="character" w:styleId="FollowedHyperlink">
    <w:name w:val="FollowedHyperlink"/>
    <w:basedOn w:val="DefaultParagraphFont"/>
    <w:rsid w:val="0025625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026AA"/>
    <w:pPr>
      <w:ind w:left="720"/>
      <w:contextualSpacing/>
    </w:pPr>
  </w:style>
  <w:style w:type="paragraph" w:customStyle="1" w:styleId="text">
    <w:name w:val="text"/>
    <w:basedOn w:val="Normal"/>
    <w:rsid w:val="008D5C02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Blockquote">
    <w:name w:val="Blockquote"/>
    <w:basedOn w:val="Normal"/>
    <w:rsid w:val="00DD0C4D"/>
    <w:pPr>
      <w:spacing w:before="100" w:after="100"/>
      <w:ind w:left="360" w:right="360"/>
    </w:pPr>
    <w:rPr>
      <w:snapToGrid w:val="0"/>
      <w:szCs w:val="20"/>
    </w:rPr>
  </w:style>
  <w:style w:type="paragraph" w:styleId="BodyText">
    <w:name w:val="Body Text"/>
    <w:basedOn w:val="Normal"/>
    <w:link w:val="BodyTextChar"/>
    <w:rsid w:val="00DD0C4D"/>
    <w:pPr>
      <w:spacing w:after="120"/>
    </w:pPr>
    <w:rPr>
      <w:rFonts w:ascii="Book Antiqua" w:hAnsi="Book Antiqua"/>
    </w:rPr>
  </w:style>
  <w:style w:type="character" w:customStyle="1" w:styleId="BodyTextChar">
    <w:name w:val="Body Text Char"/>
    <w:basedOn w:val="DefaultParagraphFont"/>
    <w:link w:val="BodyText"/>
    <w:rsid w:val="00DD0C4D"/>
    <w:rPr>
      <w:rFonts w:ascii="Book Antiqua" w:hAnsi="Book Antiqua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1377D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itation">
    <w:name w:val="citation"/>
    <w:basedOn w:val="Normal"/>
    <w:rsid w:val="001377D4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40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9C7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743D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D0108C"/>
    <w:rPr>
      <w:i/>
      <w:iCs/>
      <w:color w:val="404040" w:themeColor="text1" w:themeTint="B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D7E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1289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3821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3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87/mnsc.2022.0036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1016/j.jaccpubpol.2025.1072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2308/TAR-2021-065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86/s43093-024-00309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emj.2024.12.00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2612</Words>
  <Characters>14893</Characters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2023-11-12T17:15:00Z</dcterms:created>
  <dcterms:modified xsi:type="dcterms:W3CDTF">2025-08-23T18:01:00Z</dcterms:modified>
</cp:coreProperties>
</file>