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7DCD" w14:textId="77777777" w:rsidR="00F468D1" w:rsidRPr="007E1727" w:rsidRDefault="00F468D1" w:rsidP="00C42A69">
      <w:pPr>
        <w:spacing w:line="480" w:lineRule="auto"/>
        <w:ind w:firstLine="720"/>
        <w:jc w:val="center"/>
        <w:rPr>
          <w:b/>
          <w:bCs/>
        </w:rPr>
      </w:pPr>
    </w:p>
    <w:p w14:paraId="09AA434B" w14:textId="77777777" w:rsidR="00F468D1" w:rsidRPr="007E1727" w:rsidRDefault="00F468D1" w:rsidP="00C42A69">
      <w:pPr>
        <w:spacing w:line="480" w:lineRule="auto"/>
        <w:ind w:firstLine="720"/>
        <w:jc w:val="center"/>
        <w:rPr>
          <w:b/>
          <w:bCs/>
        </w:rPr>
      </w:pPr>
    </w:p>
    <w:p w14:paraId="466FA396" w14:textId="77777777" w:rsidR="00F468D1" w:rsidRPr="007E1727" w:rsidRDefault="00F468D1" w:rsidP="00C42A69">
      <w:pPr>
        <w:spacing w:line="480" w:lineRule="auto"/>
        <w:ind w:firstLine="720"/>
        <w:jc w:val="center"/>
        <w:rPr>
          <w:b/>
          <w:bCs/>
        </w:rPr>
      </w:pPr>
    </w:p>
    <w:p w14:paraId="0D8CF4B9" w14:textId="77777777" w:rsidR="00F468D1" w:rsidRPr="007E1727" w:rsidRDefault="00F468D1" w:rsidP="00C42A69">
      <w:pPr>
        <w:spacing w:line="480" w:lineRule="auto"/>
        <w:ind w:firstLine="720"/>
        <w:jc w:val="center"/>
        <w:rPr>
          <w:b/>
          <w:bCs/>
        </w:rPr>
      </w:pPr>
    </w:p>
    <w:p w14:paraId="253C824D" w14:textId="37B5C358" w:rsidR="00286395" w:rsidRPr="007E1727" w:rsidRDefault="0079639B" w:rsidP="00C42A69">
      <w:pPr>
        <w:spacing w:line="480" w:lineRule="auto"/>
        <w:jc w:val="center"/>
        <w:rPr>
          <w:b/>
          <w:bCs/>
        </w:rPr>
      </w:pPr>
      <w:r>
        <w:rPr>
          <w:b/>
          <w:bCs/>
        </w:rPr>
        <w:t>ACC501</w:t>
      </w:r>
      <w:r w:rsidR="004C5ED0">
        <w:rPr>
          <w:b/>
          <w:bCs/>
        </w:rPr>
        <w:t xml:space="preserve"> </w:t>
      </w:r>
      <w:r w:rsidR="00EC493C">
        <w:rPr>
          <w:b/>
          <w:bCs/>
        </w:rPr>
        <w:t>Case 3</w:t>
      </w:r>
    </w:p>
    <w:p w14:paraId="215330E4" w14:textId="77777777" w:rsidR="00286395" w:rsidRPr="007E1727" w:rsidRDefault="00286395" w:rsidP="00C42A69">
      <w:pPr>
        <w:spacing w:line="480" w:lineRule="auto"/>
        <w:ind w:firstLine="720"/>
        <w:jc w:val="center"/>
      </w:pPr>
    </w:p>
    <w:p w14:paraId="0C9670E1" w14:textId="77777777" w:rsidR="00454CAF" w:rsidRPr="007E1727" w:rsidRDefault="00454CAF" w:rsidP="00C42A69">
      <w:pPr>
        <w:spacing w:line="480" w:lineRule="auto"/>
        <w:jc w:val="center"/>
      </w:pPr>
      <w:r w:rsidRPr="007E1727">
        <w:t>Your Name</w:t>
      </w:r>
    </w:p>
    <w:p w14:paraId="02750D95" w14:textId="77777777" w:rsidR="00454CAF" w:rsidRPr="007E1727" w:rsidRDefault="00454CAF" w:rsidP="00C42A69">
      <w:pPr>
        <w:spacing w:line="480" w:lineRule="auto"/>
        <w:jc w:val="center"/>
      </w:pPr>
      <w:r w:rsidRPr="007E1727">
        <w:t xml:space="preserve">Trident University International </w:t>
      </w:r>
    </w:p>
    <w:p w14:paraId="27BBC8F8" w14:textId="6A19A1E4" w:rsidR="0079639B" w:rsidRDefault="0079639B" w:rsidP="00C42A69">
      <w:pPr>
        <w:spacing w:line="480" w:lineRule="auto"/>
        <w:jc w:val="center"/>
      </w:pPr>
      <w:r w:rsidRPr="0079639B">
        <w:t xml:space="preserve">ACC501 Accounting for Decision Making </w:t>
      </w:r>
    </w:p>
    <w:p w14:paraId="54C389E1" w14:textId="7498DF4F" w:rsidR="00844EE7" w:rsidRPr="007E1727" w:rsidRDefault="00454CAF" w:rsidP="00C42A69">
      <w:pPr>
        <w:spacing w:line="480" w:lineRule="auto"/>
        <w:jc w:val="center"/>
      </w:pPr>
      <w:r w:rsidRPr="007E1727">
        <w:t>Due Date</w:t>
      </w:r>
    </w:p>
    <w:p w14:paraId="6C8D5EF8" w14:textId="56D46919" w:rsidR="003C7F15" w:rsidRPr="007E1727" w:rsidRDefault="00352E8D" w:rsidP="00C42A69">
      <w:pPr>
        <w:spacing w:line="480" w:lineRule="auto"/>
        <w:rPr>
          <w:b/>
          <w:bCs/>
        </w:rPr>
      </w:pPr>
      <w:r w:rsidRPr="007E1727">
        <w:br w:type="page"/>
      </w:r>
    </w:p>
    <w:p w14:paraId="1DF862F2" w14:textId="06D532A4" w:rsidR="00D200BF" w:rsidRDefault="00284403" w:rsidP="00C42A69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Introduction</w:t>
      </w:r>
    </w:p>
    <w:p w14:paraId="2C39F66B" w14:textId="3CF2573C" w:rsidR="003959A0" w:rsidRPr="00A61DDF" w:rsidRDefault="003959A0" w:rsidP="003959A0">
      <w:pPr>
        <w:spacing w:line="480" w:lineRule="auto"/>
      </w:pPr>
      <w:r w:rsidRPr="003959A0">
        <w:tab/>
      </w:r>
      <w:r>
        <w:t>One of the major literatures in the recent study indicates that the t</w:t>
      </w:r>
      <w:r w:rsidRPr="003959A0">
        <w:t xml:space="preserve">ransfer pricing is a critical mechanism in multinational enterprises (MNEs) for determining the prices charged for goods, services, and intellectual property transferred between affiliated entities across different tax jurisdictions. </w:t>
      </w:r>
      <w:r>
        <w:t xml:space="preserve">Nevertheless, it tends to </w:t>
      </w:r>
      <w:r w:rsidRPr="003959A0">
        <w:t xml:space="preserve">enable </w:t>
      </w:r>
      <w:r>
        <w:t xml:space="preserve">specific </w:t>
      </w:r>
      <w:r w:rsidRPr="003959A0">
        <w:t xml:space="preserve">strategic cost allocation and performance measurement among responsibility centers, it also carries significant tax, compliance, and ethical implications. </w:t>
      </w:r>
      <w:r>
        <w:t>Based on the r</w:t>
      </w:r>
      <w:r w:rsidRPr="003959A0">
        <w:t>ecent global scrutiny, high-profile controversies, and evolving regulatory frameworks highlight the importance of balancing tax efficiency with transparency, fairness, and corporate social responsibility.</w:t>
      </w:r>
    </w:p>
    <w:p w14:paraId="726ABE2C" w14:textId="77777777" w:rsidR="00416180" w:rsidRDefault="00416180" w:rsidP="00416180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  <w:bookmarkStart w:id="0" w:name="_Hlk180240323"/>
      <w:bookmarkStart w:id="1" w:name="_Hlk158375419"/>
      <w:r w:rsidRPr="00416180">
        <w:rPr>
          <w:rFonts w:eastAsia="Aptos"/>
          <w:b/>
          <w:bCs/>
          <w:color w:val="000000"/>
          <w:kern w:val="2"/>
          <w14:ligatures w14:val="standardContextual"/>
        </w:rPr>
        <w:t>Defining the Concepts</w:t>
      </w:r>
    </w:p>
    <w:p w14:paraId="3F49B90D" w14:textId="52D47DC0" w:rsidR="003959A0" w:rsidRDefault="003959A0" w:rsidP="003959A0">
      <w:pPr>
        <w:spacing w:line="480" w:lineRule="auto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b/>
          <w:bCs/>
          <w:color w:val="000000"/>
          <w:kern w:val="2"/>
          <w14:ligatures w14:val="standardContextual"/>
        </w:rPr>
        <w:tab/>
      </w:r>
      <w:r w:rsidR="00A61DDF">
        <w:rPr>
          <w:rFonts w:eastAsia="Aptos"/>
          <w:color w:val="000000"/>
          <w:kern w:val="2"/>
          <w14:ligatures w14:val="standardContextual"/>
        </w:rPr>
        <w:t>As per the recent studies which shows that the m</w:t>
      </w:r>
      <w:r w:rsidRPr="003959A0">
        <w:rPr>
          <w:rFonts w:eastAsia="Aptos"/>
          <w:color w:val="000000"/>
          <w:kern w:val="2"/>
          <w14:ligatures w14:val="standardContextual"/>
        </w:rPr>
        <w:t>arket</w:t>
      </w:r>
      <w:r w:rsidRPr="003959A0">
        <w:rPr>
          <w:rFonts w:eastAsia="Aptos"/>
          <w:color w:val="000000"/>
          <w:kern w:val="2"/>
          <w14:ligatures w14:val="standardContextual"/>
        </w:rPr>
        <w:noBreakHyphen/>
        <w:t>based transfer pricing sets internal transaction prices based on observable external market conditions—aligning with the arm’s</w:t>
      </w:r>
      <w:r w:rsidRPr="003959A0">
        <w:rPr>
          <w:rFonts w:eastAsia="Aptos"/>
          <w:color w:val="000000"/>
          <w:kern w:val="2"/>
          <w14:ligatures w14:val="standardContextual"/>
        </w:rPr>
        <w:noBreakHyphen/>
        <w:t xml:space="preserve">length principle, which is required by most tax regulations such as the OECD guidelines. </w:t>
      </w:r>
      <w:r w:rsidR="00A61DDF">
        <w:rPr>
          <w:rFonts w:eastAsia="Aptos"/>
          <w:color w:val="000000"/>
          <w:kern w:val="2"/>
          <w14:ligatures w14:val="standardContextual"/>
        </w:rPr>
        <w:t>Based on t</w:t>
      </w:r>
      <w:r w:rsidRPr="003959A0">
        <w:rPr>
          <w:rFonts w:eastAsia="Aptos"/>
          <w:color w:val="000000"/>
          <w:kern w:val="2"/>
          <w14:ligatures w14:val="standardContextual"/>
        </w:rPr>
        <w:t xml:space="preserve">his </w:t>
      </w:r>
      <w:r w:rsidR="00097FF7" w:rsidRPr="003959A0">
        <w:rPr>
          <w:rFonts w:eastAsia="Aptos"/>
          <w:color w:val="000000"/>
          <w:kern w:val="2"/>
          <w14:ligatures w14:val="standardContextual"/>
        </w:rPr>
        <w:t>approach,</w:t>
      </w:r>
      <w:r w:rsidRPr="003959A0">
        <w:rPr>
          <w:rFonts w:eastAsia="Aptos"/>
          <w:color w:val="000000"/>
          <w:kern w:val="2"/>
          <w14:ligatures w14:val="standardContextual"/>
        </w:rPr>
        <w:t xml:space="preserve"> </w:t>
      </w:r>
      <w:r w:rsidR="00A61DDF">
        <w:rPr>
          <w:rFonts w:eastAsia="Aptos"/>
          <w:color w:val="000000"/>
          <w:kern w:val="2"/>
          <w14:ligatures w14:val="standardContextual"/>
        </w:rPr>
        <w:t xml:space="preserve">which tends to be </w:t>
      </w:r>
      <w:r w:rsidRPr="003959A0">
        <w:rPr>
          <w:rFonts w:eastAsia="Aptos"/>
          <w:color w:val="000000"/>
          <w:kern w:val="2"/>
          <w14:ligatures w14:val="standardContextual"/>
        </w:rPr>
        <w:t xml:space="preserve">transparent and objective, reducing discretion and potential manipulation. </w:t>
      </w:r>
      <w:r w:rsidR="00097FF7">
        <w:rPr>
          <w:rFonts w:eastAsia="Aptos"/>
          <w:color w:val="000000"/>
          <w:kern w:val="2"/>
          <w14:ligatures w14:val="standardContextual"/>
        </w:rPr>
        <w:t xml:space="preserve">However, in this regard, it tends to </w:t>
      </w:r>
      <w:r w:rsidRPr="003959A0">
        <w:rPr>
          <w:rFonts w:eastAsia="Aptos"/>
          <w:color w:val="000000"/>
          <w:kern w:val="2"/>
          <w14:ligatures w14:val="standardContextual"/>
        </w:rPr>
        <w:t>enable</w:t>
      </w:r>
      <w:r w:rsidR="00097FF7">
        <w:rPr>
          <w:rFonts w:eastAsia="Aptos"/>
          <w:color w:val="000000"/>
          <w:kern w:val="2"/>
          <w14:ligatures w14:val="standardContextual"/>
        </w:rPr>
        <w:t xml:space="preserve"> </w:t>
      </w:r>
      <w:r w:rsidRPr="003959A0">
        <w:rPr>
          <w:rFonts w:eastAsia="Aptos"/>
          <w:color w:val="000000"/>
          <w:kern w:val="2"/>
          <w14:ligatures w14:val="standardContextual"/>
        </w:rPr>
        <w:t>divisions to operate as if under competitive conditions, supporting efficient resource allocation and decision</w:t>
      </w:r>
      <w:r w:rsidRPr="003959A0">
        <w:rPr>
          <w:rFonts w:eastAsia="Aptos"/>
          <w:color w:val="000000"/>
          <w:kern w:val="2"/>
          <w14:ligatures w14:val="standardContextual"/>
        </w:rPr>
        <w:noBreakHyphen/>
        <w:t xml:space="preserve">making. </w:t>
      </w:r>
      <w:r w:rsidR="00097FF7">
        <w:rPr>
          <w:rFonts w:eastAsia="Aptos"/>
          <w:color w:val="000000"/>
          <w:kern w:val="2"/>
          <w14:ligatures w14:val="standardContextual"/>
        </w:rPr>
        <w:t>On the basis of that t</w:t>
      </w:r>
      <w:r w:rsidRPr="003959A0">
        <w:rPr>
          <w:rFonts w:eastAsia="Aptos"/>
          <w:color w:val="000000"/>
          <w:kern w:val="2"/>
          <w14:ligatures w14:val="standardContextual"/>
        </w:rPr>
        <w:t>he method also helps ensure regulatory compliance by using verifiable external benchmarks, thereby strengthening defensibility during audits</w:t>
      </w:r>
      <w:r>
        <w:rPr>
          <w:rFonts w:eastAsia="Aptos"/>
          <w:color w:val="000000"/>
          <w:kern w:val="2"/>
          <w14:ligatures w14:val="standardContextual"/>
        </w:rPr>
        <w:t xml:space="preserve">. </w:t>
      </w:r>
    </w:p>
    <w:p w14:paraId="52FFA893" w14:textId="62E01BF4" w:rsidR="003959A0" w:rsidRPr="003959A0" w:rsidRDefault="00097FF7" w:rsidP="003959A0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color w:val="000000"/>
          <w:kern w:val="2"/>
          <w14:ligatures w14:val="standardContextual"/>
        </w:rPr>
        <w:t xml:space="preserve">However, one of the major </w:t>
      </w:r>
      <w:r w:rsidRPr="003959A0">
        <w:rPr>
          <w:rFonts w:eastAsia="Aptos"/>
          <w:color w:val="000000"/>
          <w:kern w:val="2"/>
          <w14:ligatures w14:val="standardContextual"/>
        </w:rPr>
        <w:t>drawbacks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 is the lack of relevant comparable market data, especially for unique or specialized products or services, making accurate application difficult. </w:t>
      </w:r>
      <w:r>
        <w:rPr>
          <w:rFonts w:eastAsia="Aptos"/>
          <w:color w:val="000000"/>
          <w:kern w:val="2"/>
          <w14:ligatures w14:val="standardContextual"/>
        </w:rPr>
        <w:t xml:space="preserve">It also tends to analysed that 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in markets that lack transparency or are not perfectly competitive, market prices may be distorted or unreliable, weakening the integrity of transfer pricin</w:t>
      </w:r>
      <w:r w:rsidR="003959A0">
        <w:rPr>
          <w:rFonts w:eastAsia="Aptos"/>
          <w:color w:val="000000"/>
          <w:kern w:val="2"/>
          <w14:ligatures w14:val="standardContextual"/>
        </w:rPr>
        <w:t>g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. </w:t>
      </w:r>
      <w:r>
        <w:rPr>
          <w:rFonts w:eastAsia="Aptos"/>
          <w:color w:val="000000"/>
          <w:kern w:val="2"/>
          <w14:ligatures w14:val="standardContextual"/>
        </w:rPr>
        <w:t xml:space="preserve">In </w:t>
      </w:r>
      <w:r>
        <w:rPr>
          <w:rFonts w:eastAsia="Aptos"/>
          <w:color w:val="000000"/>
          <w:kern w:val="2"/>
          <w14:ligatures w14:val="standardContextual"/>
        </w:rPr>
        <w:lastRenderedPageBreak/>
        <w:t>accordance with the o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verreliance on external benchmarks can also overlook internal operational differences and functional variations that justify customized pricing.</w:t>
      </w:r>
    </w:p>
    <w:p w14:paraId="29E60335" w14:textId="77777777" w:rsidR="003959A0" w:rsidRPr="00097FF7" w:rsidRDefault="003959A0" w:rsidP="003959A0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  <w:r w:rsidRPr="003959A0">
        <w:rPr>
          <w:rFonts w:eastAsia="Aptos"/>
          <w:b/>
          <w:bCs/>
          <w:color w:val="000000"/>
          <w:kern w:val="2"/>
          <w14:ligatures w14:val="standardContextual"/>
        </w:rPr>
        <w:t>Tax Implications</w:t>
      </w:r>
    </w:p>
    <w:p w14:paraId="68D61F92" w14:textId="2173C81E" w:rsidR="003959A0" w:rsidRDefault="00097FF7" w:rsidP="003959A0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color w:val="000000"/>
          <w:kern w:val="2"/>
          <w14:ligatures w14:val="standardContextual"/>
        </w:rPr>
        <w:t>It is evident from the recent studies that a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dopting market</w:t>
      </w:r>
      <w:r w:rsidR="003959A0" w:rsidRPr="003959A0">
        <w:rPr>
          <w:rFonts w:eastAsia="Aptos"/>
          <w:color w:val="000000"/>
          <w:kern w:val="2"/>
          <w14:ligatures w14:val="standardContextual"/>
        </w:rPr>
        <w:noBreakHyphen/>
        <w:t>based pricing tends to align with international tax authority expectations by adhering to the arm’s</w:t>
      </w:r>
      <w:r w:rsidR="003959A0" w:rsidRPr="003959A0">
        <w:rPr>
          <w:rFonts w:eastAsia="Aptos"/>
          <w:color w:val="000000"/>
          <w:kern w:val="2"/>
          <w14:ligatures w14:val="standardContextual"/>
        </w:rPr>
        <w:noBreakHyphen/>
        <w:t xml:space="preserve">length standard, thus reducing the risk of adjustments or penalties. </w:t>
      </w:r>
      <w:r>
        <w:rPr>
          <w:rFonts w:eastAsia="Aptos"/>
          <w:color w:val="000000"/>
          <w:kern w:val="2"/>
          <w14:ligatures w14:val="standardContextual"/>
        </w:rPr>
        <w:t xml:space="preserve">As per the analysis, 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when reliable market comparables are unavailable, tax authorities may challenge the price and apply adjustments, potentially resulting in costly audits or corrections. </w:t>
      </w:r>
      <w:r>
        <w:rPr>
          <w:rFonts w:eastAsia="Aptos"/>
          <w:color w:val="000000"/>
          <w:kern w:val="2"/>
          <w14:ligatures w14:val="standardContextual"/>
        </w:rPr>
        <w:t xml:space="preserve">However, it tends to be one of the 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robust documentation trail, including justification for the selected market comparables, is essential to defend this method effectively.</w:t>
      </w:r>
    </w:p>
    <w:p w14:paraId="6F1A2977" w14:textId="1EE04521" w:rsidR="00F70E91" w:rsidRPr="003959A0" w:rsidRDefault="00DD5184" w:rsidP="00DD5184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color w:val="000000"/>
          <w:kern w:val="2"/>
          <w14:ligatures w14:val="standardContextual"/>
        </w:rPr>
        <w:t>It tends to be based on t</w:t>
      </w:r>
      <w:r w:rsidRPr="00DD5184">
        <w:rPr>
          <w:rFonts w:eastAsia="Aptos"/>
          <w:color w:val="000000"/>
          <w:kern w:val="2"/>
          <w14:ligatures w14:val="standardContextual"/>
        </w:rPr>
        <w:t xml:space="preserve">ransfer </w:t>
      </w:r>
      <w:r w:rsidR="00410176" w:rsidRPr="00DD5184">
        <w:rPr>
          <w:rFonts w:eastAsia="Aptos"/>
          <w:color w:val="000000"/>
          <w:kern w:val="2"/>
          <w14:ligatures w14:val="standardContextual"/>
        </w:rPr>
        <w:t>pricing which</w:t>
      </w:r>
      <w:r w:rsidRPr="00DD5184">
        <w:rPr>
          <w:rFonts w:eastAsia="Aptos"/>
          <w:color w:val="000000"/>
          <w:kern w:val="2"/>
          <w14:ligatures w14:val="standardContextual"/>
        </w:rPr>
        <w:t xml:space="preserve"> carries profound tax implications because it directly determines how profits are allocated among jurisdictions with varying tax rates, which in turn affects the multinational enterprise’s (MNE’s) global tax burden</w:t>
      </w:r>
      <w:r w:rsidR="00410176">
        <w:rPr>
          <w:rFonts w:eastAsia="Aptos"/>
          <w:color w:val="000000"/>
          <w:kern w:val="2"/>
          <w14:ligatures w14:val="standardContextual"/>
        </w:rPr>
        <w:t xml:space="preserve"> </w:t>
      </w:r>
      <w:r w:rsidR="00410176" w:rsidRPr="00410176">
        <w:rPr>
          <w:rFonts w:eastAsia="Aptos"/>
          <w:color w:val="000000"/>
          <w:kern w:val="2"/>
          <w14:ligatures w14:val="standardContextual"/>
        </w:rPr>
        <w:t>(Betouil, El Haddouti, &amp; Chaoui, 2025)</w:t>
      </w:r>
      <w:r w:rsidRPr="00DD5184">
        <w:rPr>
          <w:rFonts w:eastAsia="Aptos"/>
          <w:color w:val="000000"/>
          <w:kern w:val="2"/>
          <w14:ligatures w14:val="standardContextual"/>
        </w:rPr>
        <w:t xml:space="preserve">. </w:t>
      </w:r>
      <w:r>
        <w:rPr>
          <w:rFonts w:eastAsia="Aptos"/>
          <w:color w:val="000000"/>
          <w:kern w:val="2"/>
          <w14:ligatures w14:val="standardContextual"/>
        </w:rPr>
        <w:t>One of the major</w:t>
      </w:r>
      <w:r w:rsidRPr="00DD5184">
        <w:rPr>
          <w:rFonts w:eastAsia="Aptos"/>
          <w:color w:val="000000"/>
          <w:kern w:val="2"/>
          <w14:ligatures w14:val="standardContextual"/>
        </w:rPr>
        <w:t xml:space="preserve"> arm’s-length principle—endorsed by the OECD guidelines and most national tax authorities—requires intra-group transactions to mirror prices that would be agreed upon by independent parties. </w:t>
      </w:r>
      <w:r>
        <w:rPr>
          <w:rFonts w:eastAsia="Aptos"/>
          <w:color w:val="000000"/>
          <w:kern w:val="2"/>
          <w14:ligatures w14:val="standardContextual"/>
        </w:rPr>
        <w:t>As per the c</w:t>
      </w:r>
      <w:r w:rsidRPr="00DD5184">
        <w:rPr>
          <w:rFonts w:eastAsia="Aptos"/>
          <w:color w:val="000000"/>
          <w:kern w:val="2"/>
          <w14:ligatures w14:val="standardContextual"/>
        </w:rPr>
        <w:t xml:space="preserve">ompliance with this principle reduces exposure to transfer pricing adjustments, double taxation, and costly disputes. </w:t>
      </w:r>
      <w:r>
        <w:rPr>
          <w:rFonts w:eastAsia="Aptos"/>
          <w:color w:val="000000"/>
          <w:kern w:val="2"/>
          <w14:ligatures w14:val="standardContextual"/>
        </w:rPr>
        <w:t>However, it also tends to analysed that w</w:t>
      </w:r>
      <w:r w:rsidRPr="00DD5184">
        <w:rPr>
          <w:rFonts w:eastAsia="Aptos"/>
          <w:color w:val="000000"/>
          <w:kern w:val="2"/>
          <w14:ligatures w14:val="standardContextual"/>
        </w:rPr>
        <w:t>hen market-based comparables are reliable, they strengthen tax defensibility, but the absence of such data often invites regulatory scrutiny</w:t>
      </w:r>
      <w:r w:rsidR="00410176">
        <w:rPr>
          <w:rFonts w:eastAsia="Aptos"/>
          <w:color w:val="000000"/>
          <w:kern w:val="2"/>
          <w14:ligatures w14:val="standardContextual"/>
        </w:rPr>
        <w:t xml:space="preserve"> </w:t>
      </w:r>
      <w:r w:rsidR="00410176" w:rsidRPr="00410176">
        <w:rPr>
          <w:rFonts w:eastAsia="Aptos"/>
          <w:color w:val="000000"/>
          <w:kern w:val="2"/>
          <w14:ligatures w14:val="standardContextual"/>
        </w:rPr>
        <w:t>(Chandran, Khalil, Hashir, &amp; Veerasingam, 2025)</w:t>
      </w:r>
      <w:r w:rsidRPr="00DD5184">
        <w:rPr>
          <w:rFonts w:eastAsia="Aptos"/>
          <w:color w:val="000000"/>
          <w:kern w:val="2"/>
          <w14:ligatures w14:val="standardContextual"/>
        </w:rPr>
        <w:t xml:space="preserve">. </w:t>
      </w:r>
      <w:r>
        <w:rPr>
          <w:rFonts w:eastAsia="Aptos"/>
          <w:color w:val="000000"/>
          <w:kern w:val="2"/>
          <w14:ligatures w14:val="standardContextual"/>
        </w:rPr>
        <w:t xml:space="preserve">Nevertheless, it also contains major examples of </w:t>
      </w:r>
      <w:r w:rsidRPr="00DD5184">
        <w:rPr>
          <w:rFonts w:eastAsia="Aptos"/>
          <w:color w:val="000000"/>
          <w:kern w:val="2"/>
          <w14:ligatures w14:val="standardContextual"/>
        </w:rPr>
        <w:t xml:space="preserve">high-tax authorities are inclined to challenge unusually low transfer prices that shift profits to low-tax affiliates, potentially leading to backdated assessments, penalties, and reputational harm. </w:t>
      </w:r>
      <w:r>
        <w:rPr>
          <w:rFonts w:eastAsia="Aptos"/>
          <w:color w:val="000000"/>
          <w:kern w:val="2"/>
          <w14:ligatures w14:val="standardContextual"/>
        </w:rPr>
        <w:t>Based on the c</w:t>
      </w:r>
      <w:r w:rsidRPr="00DD5184">
        <w:rPr>
          <w:rFonts w:eastAsia="Aptos"/>
          <w:color w:val="000000"/>
          <w:kern w:val="2"/>
          <w14:ligatures w14:val="standardContextual"/>
        </w:rPr>
        <w:t xml:space="preserve">ost-plus methods, while easier to apply, may understate residual profits in high-value functions </w:t>
      </w:r>
      <w:r w:rsidRPr="00DD5184">
        <w:rPr>
          <w:rFonts w:eastAsia="Aptos"/>
          <w:color w:val="000000"/>
          <w:kern w:val="2"/>
          <w14:ligatures w14:val="standardContextual"/>
        </w:rPr>
        <w:lastRenderedPageBreak/>
        <w:t xml:space="preserve">such as R&amp;D or intangible management, triggering adjustments if mark-ups appear arbitrary. </w:t>
      </w:r>
      <w:r>
        <w:rPr>
          <w:rFonts w:eastAsia="Aptos"/>
          <w:color w:val="000000"/>
          <w:kern w:val="2"/>
          <w14:ligatures w14:val="standardContextual"/>
        </w:rPr>
        <w:t>In accordance with the n</w:t>
      </w:r>
      <w:r w:rsidRPr="00DD5184">
        <w:rPr>
          <w:rFonts w:eastAsia="Aptos"/>
          <w:color w:val="000000"/>
          <w:kern w:val="2"/>
          <w14:ligatures w14:val="standardContextual"/>
        </w:rPr>
        <w:t>egotiated prices, though flexible, may appear subjective or inconsistent without strong documentation, thereby undermining tax defensibility</w:t>
      </w:r>
      <w:r w:rsidR="00410176">
        <w:rPr>
          <w:rFonts w:eastAsia="Aptos"/>
          <w:color w:val="000000"/>
          <w:kern w:val="2"/>
          <w14:ligatures w14:val="standardContextual"/>
        </w:rPr>
        <w:t xml:space="preserve"> </w:t>
      </w:r>
      <w:r w:rsidR="00410176" w:rsidRPr="00410176">
        <w:rPr>
          <w:rFonts w:eastAsia="Aptos"/>
          <w:color w:val="000000"/>
          <w:kern w:val="2"/>
          <w14:ligatures w14:val="standardContextual"/>
        </w:rPr>
        <w:t>(Li &amp; Cheng, 2024)</w:t>
      </w:r>
      <w:r w:rsidRPr="00DD5184">
        <w:rPr>
          <w:rFonts w:eastAsia="Aptos"/>
          <w:color w:val="000000"/>
          <w:kern w:val="2"/>
          <w14:ligatures w14:val="standardContextual"/>
        </w:rPr>
        <w:t xml:space="preserve">. </w:t>
      </w:r>
      <w:r>
        <w:rPr>
          <w:rFonts w:eastAsia="Aptos"/>
          <w:color w:val="000000"/>
          <w:kern w:val="2"/>
          <w14:ligatures w14:val="standardContextual"/>
        </w:rPr>
        <w:t>It is evident from the r</w:t>
      </w:r>
      <w:r w:rsidRPr="00DD5184">
        <w:rPr>
          <w:rFonts w:eastAsia="Aptos"/>
          <w:color w:val="000000"/>
          <w:kern w:val="2"/>
          <w14:ligatures w14:val="standardContextual"/>
        </w:rPr>
        <w:t xml:space="preserve">ecent enforcement trends underscore the urgency of transparency: the EU’s 2024 Apple ruling and the 2025 Starbucks investigation demonstrate that even technically lawful arrangements may be recharacterized when profit allocations appear divorced from economic substance. </w:t>
      </w:r>
      <w:r>
        <w:rPr>
          <w:rFonts w:eastAsia="Aptos"/>
          <w:color w:val="000000"/>
          <w:kern w:val="2"/>
          <w14:ligatures w14:val="standardContextual"/>
        </w:rPr>
        <w:t>On the basis of t</w:t>
      </w:r>
      <w:r w:rsidRPr="00DD5184">
        <w:rPr>
          <w:rFonts w:eastAsia="Aptos"/>
          <w:color w:val="000000"/>
          <w:kern w:val="2"/>
          <w14:ligatures w14:val="standardContextual"/>
        </w:rPr>
        <w:t xml:space="preserve">ax authorities are also increasingly leveraging digital tools, data analytics, and country-by-country reporting (CbCR) to identify mismatches between reported profits and real activities. </w:t>
      </w:r>
      <w:r>
        <w:rPr>
          <w:rFonts w:eastAsia="Aptos"/>
          <w:color w:val="000000"/>
          <w:kern w:val="2"/>
          <w14:ligatures w14:val="standardContextual"/>
        </w:rPr>
        <w:t xml:space="preserve">In the regard of </w:t>
      </w:r>
      <w:r w:rsidRPr="00DD5184">
        <w:rPr>
          <w:rFonts w:eastAsia="Aptos"/>
          <w:color w:val="000000"/>
          <w:kern w:val="2"/>
          <w14:ligatures w14:val="standardContextual"/>
        </w:rPr>
        <w:t>MNEs we</w:t>
      </w:r>
      <w:r w:rsidRPr="00DD5184">
        <w:rPr>
          <w:rFonts w:eastAsia="Aptos"/>
          <w:color w:val="000000"/>
          <w:kern w:val="2"/>
          <w14:ligatures w14:val="standardContextual"/>
        </w:rPr>
        <w:t xml:space="preserve"> must maintain robust documentation, adopt defensible comparables, and ensure transfer pricing reflects genuine value creation rather than artificial tax minimization</w:t>
      </w:r>
      <w:r>
        <w:rPr>
          <w:rFonts w:eastAsia="Aptos"/>
          <w:color w:val="000000"/>
          <w:kern w:val="2"/>
          <w14:ligatures w14:val="standardContextual"/>
        </w:rPr>
        <w:t xml:space="preserve"> and b</w:t>
      </w:r>
      <w:r w:rsidRPr="00DD5184">
        <w:rPr>
          <w:rFonts w:eastAsia="Aptos"/>
          <w:color w:val="000000"/>
          <w:kern w:val="2"/>
          <w14:ligatures w14:val="standardContextual"/>
        </w:rPr>
        <w:t>eyond compliance, poor transfer pricing practices can elevate effective tax rates, escalate audit risks, and damage corporate reputation</w:t>
      </w:r>
      <w:r w:rsidR="00410176">
        <w:rPr>
          <w:rFonts w:eastAsia="Aptos"/>
          <w:color w:val="000000"/>
          <w:kern w:val="2"/>
          <w14:ligatures w14:val="standardContextual"/>
        </w:rPr>
        <w:t xml:space="preserve"> </w:t>
      </w:r>
      <w:r w:rsidR="00410176" w:rsidRPr="00410176">
        <w:rPr>
          <w:rFonts w:eastAsia="Aptos"/>
          <w:color w:val="000000"/>
          <w:kern w:val="2"/>
          <w14:ligatures w14:val="standardContextual"/>
        </w:rPr>
        <w:t>(Venkataraman, 2024)</w:t>
      </w:r>
      <w:r w:rsidRPr="00DD5184">
        <w:rPr>
          <w:rFonts w:eastAsia="Aptos"/>
          <w:color w:val="000000"/>
          <w:kern w:val="2"/>
          <w14:ligatures w14:val="standardContextual"/>
        </w:rPr>
        <w:t>.</w:t>
      </w:r>
    </w:p>
    <w:p w14:paraId="33919252" w14:textId="77777777" w:rsidR="003959A0" w:rsidRPr="00097FF7" w:rsidRDefault="003959A0" w:rsidP="003959A0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  <w:r w:rsidRPr="003959A0">
        <w:rPr>
          <w:rFonts w:eastAsia="Aptos"/>
          <w:b/>
          <w:bCs/>
          <w:color w:val="000000"/>
          <w:kern w:val="2"/>
          <w14:ligatures w14:val="standardContextual"/>
        </w:rPr>
        <w:t>Cost-Plus Transfer Pricing</w:t>
      </w:r>
    </w:p>
    <w:p w14:paraId="65AA8037" w14:textId="224E24BD" w:rsidR="003959A0" w:rsidRDefault="00097FF7" w:rsidP="003959A0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color w:val="000000"/>
          <w:kern w:val="2"/>
          <w14:ligatures w14:val="standardContextual"/>
        </w:rPr>
        <w:t xml:space="preserve">It tends to be one of the most essential and critical 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cost</w:t>
      </w:r>
      <w:r w:rsidR="003959A0" w:rsidRPr="003959A0">
        <w:rPr>
          <w:rFonts w:eastAsia="Aptos"/>
          <w:color w:val="000000"/>
          <w:kern w:val="2"/>
          <w14:ligatures w14:val="standardContextual"/>
        </w:rPr>
        <w:noBreakHyphen/>
        <w:t xml:space="preserve">plus method </w:t>
      </w:r>
      <w:r>
        <w:rPr>
          <w:rFonts w:eastAsia="Aptos"/>
          <w:color w:val="000000"/>
          <w:kern w:val="2"/>
          <w14:ligatures w14:val="standardContextual"/>
        </w:rPr>
        <w:t xml:space="preserve">which 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calculates a transfer price by adding a markup to the seller’s cost base, simplifying pricing for routine manufacturing or service functions. </w:t>
      </w:r>
      <w:r>
        <w:rPr>
          <w:rFonts w:eastAsia="Aptos"/>
          <w:color w:val="000000"/>
          <w:kern w:val="2"/>
          <w14:ligatures w14:val="standardContextual"/>
        </w:rPr>
        <w:t xml:space="preserve">However, on the other hand, it also tends to </w:t>
      </w:r>
      <w:r w:rsidRPr="003959A0">
        <w:rPr>
          <w:rFonts w:eastAsia="Aptos"/>
          <w:color w:val="000000"/>
          <w:kern w:val="2"/>
          <w14:ligatures w14:val="standardContextual"/>
        </w:rPr>
        <w:t>require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 fewer external data inputs compared to market</w:t>
      </w:r>
      <w:r w:rsidR="003959A0" w:rsidRPr="003959A0">
        <w:rPr>
          <w:rFonts w:eastAsia="Aptos"/>
          <w:color w:val="000000"/>
          <w:kern w:val="2"/>
          <w14:ligatures w14:val="standardContextual"/>
        </w:rPr>
        <w:noBreakHyphen/>
        <w:t>based methods, making it easier to implement when external comparable prices are scarce. It</w:t>
      </w:r>
      <w:r>
        <w:rPr>
          <w:rFonts w:eastAsia="Aptos"/>
          <w:color w:val="000000"/>
          <w:kern w:val="2"/>
          <w14:ligatures w14:val="standardContextual"/>
        </w:rPr>
        <w:t xml:space="preserve"> tends to be one of the most critical </w:t>
      </w:r>
      <w:r w:rsidRPr="003959A0">
        <w:rPr>
          <w:rFonts w:eastAsia="Aptos"/>
          <w:color w:val="000000"/>
          <w:kern w:val="2"/>
          <w14:ligatures w14:val="standardContextual"/>
        </w:rPr>
        <w:t>approaches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 compatible with existing accounting systems, enabling seamless integration and rapid invoicing.</w:t>
      </w:r>
    </w:p>
    <w:p w14:paraId="2E83DFCB" w14:textId="6B172828" w:rsidR="003959A0" w:rsidRDefault="00097FF7" w:rsidP="003959A0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color w:val="000000"/>
          <w:kern w:val="2"/>
          <w14:ligatures w14:val="standardContextual"/>
        </w:rPr>
        <w:t>It is also important to understand that d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etermining an appropriate markup can be challenging due to variance in cost structures and the difficulty of finding comparable gross</w:t>
      </w:r>
      <w:r w:rsidR="003959A0" w:rsidRPr="003959A0">
        <w:rPr>
          <w:rFonts w:eastAsia="Aptos"/>
          <w:color w:val="000000"/>
          <w:kern w:val="2"/>
          <w14:ligatures w14:val="standardContextual"/>
        </w:rPr>
        <w:noBreakHyphen/>
        <w:t>margin benchmarks</w:t>
      </w:r>
      <w:r>
        <w:rPr>
          <w:rFonts w:eastAsia="Aptos"/>
          <w:color w:val="000000"/>
          <w:kern w:val="2"/>
          <w14:ligatures w14:val="standardContextual"/>
        </w:rPr>
        <w:t xml:space="preserve"> and t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his method is less accurate for transactions involving valuable intangible assets or complex functions, potentially misallocating profits and skewing </w:t>
      </w:r>
      <w:r w:rsidR="003959A0" w:rsidRPr="003959A0">
        <w:rPr>
          <w:rFonts w:eastAsia="Aptos"/>
          <w:color w:val="000000"/>
          <w:kern w:val="2"/>
          <w14:ligatures w14:val="standardContextual"/>
        </w:rPr>
        <w:lastRenderedPageBreak/>
        <w:t xml:space="preserve">performance measures. </w:t>
      </w:r>
      <w:r>
        <w:rPr>
          <w:rFonts w:eastAsia="Aptos"/>
          <w:color w:val="000000"/>
          <w:kern w:val="2"/>
          <w14:ligatures w14:val="standardContextual"/>
        </w:rPr>
        <w:t>It also tends to include the s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implified cost</w:t>
      </w:r>
      <w:r w:rsidR="003959A0" w:rsidRPr="003959A0">
        <w:rPr>
          <w:rFonts w:eastAsia="Aptos"/>
          <w:color w:val="000000"/>
          <w:kern w:val="2"/>
          <w14:ligatures w14:val="standardContextual"/>
        </w:rPr>
        <w:noBreakHyphen/>
        <w:t>plus application may shift residual profits to less complex divisions, undermining fairness and strategic alignment.</w:t>
      </w:r>
    </w:p>
    <w:p w14:paraId="4B575775" w14:textId="3CB5517F" w:rsidR="003959A0" w:rsidRPr="003959A0" w:rsidRDefault="00097FF7" w:rsidP="003959A0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color w:val="000000"/>
          <w:kern w:val="2"/>
          <w14:ligatures w14:val="standardContextual"/>
        </w:rPr>
        <w:t>Based on the c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ost</w:t>
      </w:r>
      <w:r w:rsidR="003959A0" w:rsidRPr="003959A0">
        <w:rPr>
          <w:rFonts w:eastAsia="Aptos"/>
          <w:color w:val="000000"/>
          <w:kern w:val="2"/>
          <w14:ligatures w14:val="standardContextual"/>
        </w:rPr>
        <w:noBreakHyphen/>
        <w:t xml:space="preserve">plus transfer </w:t>
      </w:r>
      <w:r w:rsidRPr="003959A0">
        <w:rPr>
          <w:rFonts w:eastAsia="Aptos"/>
          <w:color w:val="000000"/>
          <w:kern w:val="2"/>
          <w14:ligatures w14:val="standardContextual"/>
        </w:rPr>
        <w:t>pricing,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 </w:t>
      </w:r>
      <w:r>
        <w:rPr>
          <w:rFonts w:eastAsia="Aptos"/>
          <w:color w:val="000000"/>
          <w:kern w:val="2"/>
          <w14:ligatures w14:val="standardContextual"/>
        </w:rPr>
        <w:t xml:space="preserve">which 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is accepted under many tax regimes, particularly when it reflects the functions, assets, and risks of the supplying entity and aligns with arm’s</w:t>
      </w:r>
      <w:r w:rsidR="003959A0" w:rsidRPr="003959A0">
        <w:rPr>
          <w:rFonts w:eastAsia="Aptos"/>
          <w:color w:val="000000"/>
          <w:kern w:val="2"/>
          <w14:ligatures w14:val="standardContextual"/>
        </w:rPr>
        <w:noBreakHyphen/>
        <w:t xml:space="preserve">length expectations. </w:t>
      </w:r>
      <w:r>
        <w:rPr>
          <w:rFonts w:eastAsia="Aptos"/>
          <w:color w:val="000000"/>
          <w:kern w:val="2"/>
          <w14:ligatures w14:val="standardContextual"/>
        </w:rPr>
        <w:t xml:space="preserve">It also comprised of 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tax authorities</w:t>
      </w:r>
      <w:r>
        <w:rPr>
          <w:rFonts w:eastAsia="Aptos"/>
          <w:color w:val="000000"/>
          <w:kern w:val="2"/>
          <w14:ligatures w14:val="standardContextual"/>
        </w:rPr>
        <w:t xml:space="preserve"> which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 may scrutinize the chosen markup and cost base, especially where intangibles are involved or comparables are weak. Insufficient documentation or inappropriate markups can trigger adjustments or penalties during audits</w:t>
      </w:r>
      <w:r w:rsidR="003959A0">
        <w:rPr>
          <w:rFonts w:eastAsia="Aptos"/>
          <w:color w:val="000000"/>
          <w:kern w:val="2"/>
          <w14:ligatures w14:val="standardContextual"/>
        </w:rPr>
        <w:t xml:space="preserve">. </w:t>
      </w:r>
    </w:p>
    <w:p w14:paraId="16541548" w14:textId="77777777" w:rsidR="003959A0" w:rsidRPr="00097FF7" w:rsidRDefault="003959A0" w:rsidP="003959A0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  <w:r w:rsidRPr="003959A0">
        <w:rPr>
          <w:rFonts w:eastAsia="Aptos"/>
          <w:b/>
          <w:bCs/>
          <w:color w:val="000000"/>
          <w:kern w:val="2"/>
          <w14:ligatures w14:val="standardContextual"/>
        </w:rPr>
        <w:t>Negotiated Transfer Pricing</w:t>
      </w:r>
    </w:p>
    <w:p w14:paraId="56B8DF1A" w14:textId="7D667E12" w:rsidR="003959A0" w:rsidRDefault="00097FF7" w:rsidP="003959A0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color w:val="000000"/>
          <w:kern w:val="2"/>
          <w14:ligatures w14:val="standardContextual"/>
        </w:rPr>
        <w:t>It is evident from the recent analysis that n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egotiated transfer pricing is driven by discussions between division managers, promoting decentralization and respecting managerial autonomy—divisions can leverage local knowledge to set realistic, efficient prices.</w:t>
      </w:r>
      <w:r w:rsidR="003959A0">
        <w:rPr>
          <w:rFonts w:eastAsia="Aptos"/>
          <w:color w:val="000000"/>
          <w:kern w:val="2"/>
          <w14:ligatures w14:val="standardContextual"/>
        </w:rPr>
        <w:t xml:space="preserve"> </w:t>
      </w:r>
      <w:r>
        <w:rPr>
          <w:rFonts w:eastAsia="Aptos"/>
          <w:color w:val="000000"/>
          <w:kern w:val="2"/>
          <w14:ligatures w14:val="standardContextual"/>
        </w:rPr>
        <w:t>On the basis of that t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his </w:t>
      </w:r>
      <w:r w:rsidRPr="003959A0">
        <w:rPr>
          <w:rFonts w:eastAsia="Aptos"/>
          <w:color w:val="000000"/>
          <w:kern w:val="2"/>
          <w14:ligatures w14:val="standardContextual"/>
        </w:rPr>
        <w:t>foster’s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 goal congruence, aligning divisional objectives with overall corporate strategy, and serves as an effective performance monitoring tool. </w:t>
      </w:r>
      <w:r>
        <w:rPr>
          <w:rFonts w:eastAsia="Aptos"/>
          <w:color w:val="000000"/>
          <w:kern w:val="2"/>
          <w14:ligatures w14:val="standardContextual"/>
        </w:rPr>
        <w:t>As per the literature, which indicates that w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hen transparent and well documented, negotiated prices can be legally defensible and more likely to be accepted by tax authorities </w:t>
      </w:r>
    </w:p>
    <w:p w14:paraId="205894FD" w14:textId="5FEEDBED" w:rsidR="003959A0" w:rsidRDefault="00097FF7" w:rsidP="003959A0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color w:val="000000"/>
          <w:kern w:val="2"/>
          <w14:ligatures w14:val="standardContextual"/>
        </w:rPr>
        <w:t>According to the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 negotiation </w:t>
      </w:r>
      <w:r w:rsidRPr="003959A0">
        <w:rPr>
          <w:rFonts w:eastAsia="Aptos"/>
          <w:color w:val="000000"/>
          <w:kern w:val="2"/>
          <w14:ligatures w14:val="standardContextual"/>
        </w:rPr>
        <w:t>process, it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 is time</w:t>
      </w:r>
      <w:r w:rsidR="003959A0" w:rsidRPr="003959A0">
        <w:rPr>
          <w:rFonts w:eastAsia="Aptos"/>
          <w:color w:val="000000"/>
          <w:kern w:val="2"/>
          <w14:ligatures w14:val="standardContextual"/>
        </w:rPr>
        <w:noBreakHyphen/>
        <w:t>intensive, requiring significant managerial effort and resources</w:t>
      </w:r>
      <w:r>
        <w:rPr>
          <w:rFonts w:eastAsia="Aptos"/>
          <w:color w:val="000000"/>
          <w:kern w:val="2"/>
          <w14:ligatures w14:val="standardContextual"/>
        </w:rPr>
        <w:t xml:space="preserve"> such as o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utcomes may heavily depend on the negotiation skills of individual managers—uneven negotiation prowess can lead to unfair terms, inter</w:t>
      </w:r>
      <w:r w:rsidR="003959A0" w:rsidRPr="003959A0">
        <w:rPr>
          <w:rFonts w:eastAsia="Aptos"/>
          <w:color w:val="000000"/>
          <w:kern w:val="2"/>
          <w14:ligatures w14:val="standardContextual"/>
        </w:rPr>
        <w:noBreakHyphen/>
        <w:t xml:space="preserve">divisional conflict, or skewed performance assessments. </w:t>
      </w:r>
      <w:r>
        <w:rPr>
          <w:rFonts w:eastAsia="Aptos"/>
          <w:color w:val="000000"/>
          <w:kern w:val="2"/>
          <w14:ligatures w14:val="standardContextual"/>
        </w:rPr>
        <w:t>One of the major examples consist of c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onfidential information asymmetry between divisions may be abused, further undermining equity and clarity.</w:t>
      </w:r>
    </w:p>
    <w:p w14:paraId="46A414BC" w14:textId="238FD7B4" w:rsidR="003959A0" w:rsidRPr="003959A0" w:rsidRDefault="00097FF7" w:rsidP="003959A0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color w:val="000000"/>
          <w:kern w:val="2"/>
          <w14:ligatures w14:val="standardContextual"/>
        </w:rPr>
        <w:t xml:space="preserve">However, one of the critical and 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well</w:t>
      </w:r>
      <w:r w:rsidR="003959A0" w:rsidRPr="003959A0">
        <w:rPr>
          <w:rFonts w:eastAsia="Aptos"/>
          <w:color w:val="000000"/>
          <w:kern w:val="2"/>
          <w14:ligatures w14:val="standardContextual"/>
        </w:rPr>
        <w:noBreakHyphen/>
        <w:t>structured, well</w:t>
      </w:r>
      <w:r w:rsidR="003959A0" w:rsidRPr="003959A0">
        <w:rPr>
          <w:rFonts w:eastAsia="Aptos"/>
          <w:color w:val="000000"/>
          <w:kern w:val="2"/>
          <w14:ligatures w14:val="standardContextual"/>
        </w:rPr>
        <w:noBreakHyphen/>
        <w:t xml:space="preserve">documented negotiation process can strengthen the tax defensibility of transfer prices by showing they reflect genuine economic </w:t>
      </w:r>
      <w:r w:rsidR="003959A0" w:rsidRPr="003959A0">
        <w:rPr>
          <w:rFonts w:eastAsia="Aptos"/>
          <w:color w:val="000000"/>
          <w:kern w:val="2"/>
          <w14:ligatures w14:val="standardContextual"/>
        </w:rPr>
        <w:lastRenderedPageBreak/>
        <w:t>agreement and arm’s</w:t>
      </w:r>
      <w:r w:rsidR="003959A0" w:rsidRPr="003959A0">
        <w:rPr>
          <w:rFonts w:eastAsia="Aptos"/>
          <w:color w:val="000000"/>
          <w:kern w:val="2"/>
          <w14:ligatures w14:val="standardContextual"/>
        </w:rPr>
        <w:noBreakHyphen/>
        <w:t xml:space="preserve">length terms. </w:t>
      </w:r>
      <w:r>
        <w:rPr>
          <w:rFonts w:eastAsia="Aptos"/>
          <w:color w:val="000000"/>
          <w:kern w:val="2"/>
          <w14:ligatures w14:val="standardContextual"/>
        </w:rPr>
        <w:t xml:space="preserve">On the other hand, regarding the 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 xml:space="preserve">inconsistent or poorly documented </w:t>
      </w:r>
      <w:r w:rsidRPr="003959A0">
        <w:rPr>
          <w:rFonts w:eastAsia="Aptos"/>
          <w:color w:val="000000"/>
          <w:kern w:val="2"/>
          <w14:ligatures w14:val="standardContextual"/>
        </w:rPr>
        <w:t xml:space="preserve">negotiations, </w:t>
      </w:r>
      <w:r w:rsidR="003959A0" w:rsidRPr="003959A0">
        <w:rPr>
          <w:rFonts w:eastAsia="Aptos"/>
          <w:color w:val="000000"/>
          <w:kern w:val="2"/>
          <w14:ligatures w14:val="standardContextual"/>
        </w:rPr>
        <w:t>even if consensual—may attract scrutiny from tax authorities, leading to adjustments or disputes.</w:t>
      </w:r>
    </w:p>
    <w:p w14:paraId="7DCD486F" w14:textId="1FBC43D8" w:rsidR="003959A0" w:rsidRPr="003959A0" w:rsidRDefault="003959A0" w:rsidP="003959A0">
      <w:pPr>
        <w:spacing w:line="480" w:lineRule="auto"/>
        <w:rPr>
          <w:rFonts w:eastAsia="Aptos"/>
          <w:color w:val="000000"/>
          <w:kern w:val="2"/>
          <w14:ligatures w14:val="standardContextual"/>
        </w:rPr>
      </w:pPr>
    </w:p>
    <w:p w14:paraId="4FC2B43E" w14:textId="77777777" w:rsidR="00416180" w:rsidRPr="00416180" w:rsidRDefault="00416180" w:rsidP="00416180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  <w:r w:rsidRPr="00416180">
        <w:rPr>
          <w:rFonts w:eastAsia="Aptos"/>
          <w:b/>
          <w:bCs/>
          <w:color w:val="000000"/>
          <w:kern w:val="2"/>
          <w14:ligatures w14:val="standardContextual"/>
        </w:rPr>
        <w:t>Simulation Results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0"/>
        <w:gridCol w:w="730"/>
        <w:gridCol w:w="1684"/>
        <w:gridCol w:w="1409"/>
        <w:gridCol w:w="1279"/>
        <w:gridCol w:w="1375"/>
        <w:gridCol w:w="1463"/>
      </w:tblGrid>
      <w:tr w:rsidR="003959A0" w14:paraId="6F9DE8C9" w14:textId="77777777" w:rsidTr="003959A0">
        <w:trPr>
          <w:trHeight w:val="300"/>
        </w:trPr>
        <w:tc>
          <w:tcPr>
            <w:tcW w:w="758" w:type="pct"/>
            <w:noWrap/>
            <w:hideMark/>
          </w:tcPr>
          <w:p w14:paraId="47FC5902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bookmarkStart w:id="2" w:name="_Hlk179981128"/>
            <w:r>
              <w:rPr>
                <w:rFonts w:ascii="Aptos Narrow" w:hAnsi="Aptos Narrow"/>
                <w:color w:val="000000"/>
                <w:sz w:val="22"/>
                <w:szCs w:val="22"/>
              </w:rPr>
              <w:t>Division</w:t>
            </w:r>
          </w:p>
        </w:tc>
        <w:tc>
          <w:tcPr>
            <w:tcW w:w="365" w:type="pct"/>
            <w:noWrap/>
            <w:hideMark/>
          </w:tcPr>
          <w:p w14:paraId="36EF7B44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891" w:type="pct"/>
            <w:noWrap/>
            <w:hideMark/>
          </w:tcPr>
          <w:p w14:paraId="1C58BBDE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Method</w:t>
            </w:r>
          </w:p>
        </w:tc>
        <w:tc>
          <w:tcPr>
            <w:tcW w:w="771" w:type="pct"/>
            <w:noWrap/>
            <w:hideMark/>
          </w:tcPr>
          <w:p w14:paraId="132BF729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Transfer Price (per unit)</w:t>
            </w:r>
          </w:p>
        </w:tc>
        <w:tc>
          <w:tcPr>
            <w:tcW w:w="678" w:type="pct"/>
            <w:noWrap/>
            <w:hideMark/>
          </w:tcPr>
          <w:p w14:paraId="18B5ACA0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Units Sold to Affiliate</w:t>
            </w:r>
          </w:p>
        </w:tc>
        <w:tc>
          <w:tcPr>
            <w:tcW w:w="738" w:type="pct"/>
            <w:noWrap/>
            <w:hideMark/>
          </w:tcPr>
          <w:p w14:paraId="0CAC299B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Total Transfer Revenue</w:t>
            </w:r>
          </w:p>
        </w:tc>
        <w:tc>
          <w:tcPr>
            <w:tcW w:w="798" w:type="pct"/>
            <w:noWrap/>
            <w:hideMark/>
          </w:tcPr>
          <w:p w14:paraId="43C4CA9E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Estimated Division Profit</w:t>
            </w:r>
          </w:p>
        </w:tc>
      </w:tr>
      <w:tr w:rsidR="003959A0" w14:paraId="443068DF" w14:textId="77777777" w:rsidTr="003959A0">
        <w:trPr>
          <w:trHeight w:val="300"/>
        </w:trPr>
        <w:tc>
          <w:tcPr>
            <w:tcW w:w="758" w:type="pct"/>
            <w:noWrap/>
            <w:hideMark/>
          </w:tcPr>
          <w:p w14:paraId="17F85B9C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Hardware Division</w:t>
            </w:r>
          </w:p>
        </w:tc>
        <w:tc>
          <w:tcPr>
            <w:tcW w:w="365" w:type="pct"/>
            <w:noWrap/>
            <w:hideMark/>
          </w:tcPr>
          <w:p w14:paraId="2DDF3B6D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USA</w:t>
            </w:r>
          </w:p>
        </w:tc>
        <w:tc>
          <w:tcPr>
            <w:tcW w:w="891" w:type="pct"/>
            <w:noWrap/>
            <w:hideMark/>
          </w:tcPr>
          <w:p w14:paraId="67F79093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Market-Based</w:t>
            </w:r>
          </w:p>
        </w:tc>
        <w:tc>
          <w:tcPr>
            <w:tcW w:w="771" w:type="pct"/>
            <w:noWrap/>
            <w:hideMark/>
          </w:tcPr>
          <w:p w14:paraId="1F723849" w14:textId="77777777" w:rsidR="003959A0" w:rsidRDefault="003959A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78" w:type="pct"/>
            <w:noWrap/>
            <w:hideMark/>
          </w:tcPr>
          <w:p w14:paraId="7BE61D09" w14:textId="77777777" w:rsidR="003959A0" w:rsidRDefault="003959A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738" w:type="pct"/>
            <w:noWrap/>
            <w:hideMark/>
          </w:tcPr>
          <w:p w14:paraId="45F4DE47" w14:textId="77777777" w:rsidR="003959A0" w:rsidRDefault="003959A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5000000</w:t>
            </w:r>
          </w:p>
        </w:tc>
        <w:tc>
          <w:tcPr>
            <w:tcW w:w="798" w:type="pct"/>
            <w:noWrap/>
            <w:hideMark/>
          </w:tcPr>
          <w:p w14:paraId="5E0014F2" w14:textId="77777777" w:rsidR="003959A0" w:rsidRDefault="003959A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1000000</w:t>
            </w:r>
          </w:p>
        </w:tc>
      </w:tr>
      <w:tr w:rsidR="003959A0" w14:paraId="08855D9A" w14:textId="77777777" w:rsidTr="003959A0">
        <w:trPr>
          <w:trHeight w:val="300"/>
        </w:trPr>
        <w:tc>
          <w:tcPr>
            <w:tcW w:w="758" w:type="pct"/>
            <w:noWrap/>
            <w:hideMark/>
          </w:tcPr>
          <w:p w14:paraId="10340E81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Software Division</w:t>
            </w:r>
          </w:p>
        </w:tc>
        <w:tc>
          <w:tcPr>
            <w:tcW w:w="365" w:type="pct"/>
            <w:noWrap/>
            <w:hideMark/>
          </w:tcPr>
          <w:p w14:paraId="381D1606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891" w:type="pct"/>
            <w:noWrap/>
            <w:hideMark/>
          </w:tcPr>
          <w:p w14:paraId="4EE2AFA2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Cost-Plus (Cost $200 + 30%)</w:t>
            </w:r>
          </w:p>
        </w:tc>
        <w:tc>
          <w:tcPr>
            <w:tcW w:w="771" w:type="pct"/>
            <w:noWrap/>
            <w:hideMark/>
          </w:tcPr>
          <w:p w14:paraId="6978B051" w14:textId="77777777" w:rsidR="003959A0" w:rsidRDefault="003959A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678" w:type="pct"/>
            <w:noWrap/>
            <w:hideMark/>
          </w:tcPr>
          <w:p w14:paraId="561104CB" w14:textId="77777777" w:rsidR="003959A0" w:rsidRDefault="003959A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738" w:type="pct"/>
            <w:noWrap/>
            <w:hideMark/>
          </w:tcPr>
          <w:p w14:paraId="65F1B2C4" w14:textId="77777777" w:rsidR="003959A0" w:rsidRDefault="003959A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2080000</w:t>
            </w:r>
          </w:p>
        </w:tc>
        <w:tc>
          <w:tcPr>
            <w:tcW w:w="798" w:type="pct"/>
            <w:noWrap/>
            <w:hideMark/>
          </w:tcPr>
          <w:p w14:paraId="0463ECF0" w14:textId="77777777" w:rsidR="003959A0" w:rsidRDefault="003959A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480000</w:t>
            </w:r>
          </w:p>
        </w:tc>
      </w:tr>
      <w:tr w:rsidR="003959A0" w14:paraId="1BC127CE" w14:textId="77777777" w:rsidTr="003959A0">
        <w:trPr>
          <w:trHeight w:val="300"/>
        </w:trPr>
        <w:tc>
          <w:tcPr>
            <w:tcW w:w="758" w:type="pct"/>
            <w:noWrap/>
            <w:hideMark/>
          </w:tcPr>
          <w:p w14:paraId="7F648913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Cloud Services Division</w:t>
            </w:r>
          </w:p>
        </w:tc>
        <w:tc>
          <w:tcPr>
            <w:tcW w:w="365" w:type="pct"/>
            <w:noWrap/>
            <w:hideMark/>
          </w:tcPr>
          <w:p w14:paraId="4EEB9D94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Singapore</w:t>
            </w:r>
          </w:p>
        </w:tc>
        <w:tc>
          <w:tcPr>
            <w:tcW w:w="891" w:type="pct"/>
            <w:noWrap/>
            <w:hideMark/>
          </w:tcPr>
          <w:p w14:paraId="40092463" w14:textId="77777777" w:rsidR="003959A0" w:rsidRDefault="003959A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Negotiated</w:t>
            </w:r>
          </w:p>
        </w:tc>
        <w:tc>
          <w:tcPr>
            <w:tcW w:w="771" w:type="pct"/>
            <w:noWrap/>
            <w:hideMark/>
          </w:tcPr>
          <w:p w14:paraId="39C5B9D7" w14:textId="77777777" w:rsidR="003959A0" w:rsidRDefault="003959A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678" w:type="pct"/>
            <w:noWrap/>
            <w:hideMark/>
          </w:tcPr>
          <w:p w14:paraId="717738B5" w14:textId="77777777" w:rsidR="003959A0" w:rsidRDefault="003959A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738" w:type="pct"/>
            <w:noWrap/>
            <w:hideMark/>
          </w:tcPr>
          <w:p w14:paraId="05C75C29" w14:textId="77777777" w:rsidR="003959A0" w:rsidRDefault="003959A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4200000</w:t>
            </w:r>
          </w:p>
        </w:tc>
        <w:tc>
          <w:tcPr>
            <w:tcW w:w="798" w:type="pct"/>
            <w:noWrap/>
            <w:hideMark/>
          </w:tcPr>
          <w:p w14:paraId="4C2753A8" w14:textId="77777777" w:rsidR="003959A0" w:rsidRDefault="003959A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900000</w:t>
            </w:r>
          </w:p>
        </w:tc>
      </w:tr>
    </w:tbl>
    <w:p w14:paraId="7B8994CC" w14:textId="144373A2" w:rsidR="00416180" w:rsidRDefault="00416180" w:rsidP="003959A0">
      <w:pPr>
        <w:spacing w:line="480" w:lineRule="auto"/>
      </w:pPr>
    </w:p>
    <w:p w14:paraId="30B8E5EB" w14:textId="732C1C37" w:rsidR="0031585C" w:rsidRDefault="0031585C" w:rsidP="0031585C">
      <w:pPr>
        <w:spacing w:line="480" w:lineRule="auto"/>
        <w:ind w:firstLine="720"/>
      </w:pPr>
      <w:r>
        <w:t xml:space="preserve">Based on the above </w:t>
      </w:r>
      <w:r w:rsidRPr="0031585C">
        <w:t xml:space="preserve">simulation </w:t>
      </w:r>
      <w:r>
        <w:t xml:space="preserve">which </w:t>
      </w:r>
      <w:r w:rsidRPr="0031585C">
        <w:t xml:space="preserve">highlights how transfer pricing methods significantly shape divisional performance and tax exposure. </w:t>
      </w:r>
      <w:r>
        <w:t xml:space="preserve">However, in the regard of </w:t>
      </w:r>
      <w:r w:rsidRPr="0031585C">
        <w:t xml:space="preserve">Hardware Division (USA), using a market-based approach, achieves the highest per-unit price ($500) and strong profits, but this also increases taxable income in a high-tax jurisdiction. </w:t>
      </w:r>
      <w:r>
        <w:t xml:space="preserve">Based on the </w:t>
      </w:r>
      <w:r w:rsidRPr="0031585C">
        <w:t>Software Division (Ireland) applies a cost-plus method, generating lower revenue ($2.08M) and modest profits, effectively shifting less profit to Ireland’s lower-tax regime, though under-markups risk audit scrutiny</w:t>
      </w:r>
      <w:r w:rsidR="004C09D6">
        <w:t xml:space="preserve"> </w:t>
      </w:r>
      <w:r w:rsidR="004C09D6" w:rsidRPr="004C09D6">
        <w:t>(Venkataraman, 2024</w:t>
      </w:r>
      <w:r w:rsidR="004C09D6">
        <w:t>)</w:t>
      </w:r>
      <w:r w:rsidRPr="0031585C">
        <w:t xml:space="preserve">. </w:t>
      </w:r>
      <w:r>
        <w:t xml:space="preserve">It also includes the </w:t>
      </w:r>
      <w:r w:rsidRPr="0031585C">
        <w:t>Cloud Services Division (Singapore) adopts a negotiated price, balancing inter-divisional needs while yielding $4.2M in revenue, though subjectivity and inconsistent defensibility could invite regulatory challenges.</w:t>
      </w:r>
    </w:p>
    <w:p w14:paraId="15CCC342" w14:textId="608D8875" w:rsidR="0076428E" w:rsidRDefault="00097FF7" w:rsidP="0076428E">
      <w:pPr>
        <w:spacing w:line="480" w:lineRule="auto"/>
        <w:ind w:firstLine="720"/>
      </w:pPr>
      <w:r>
        <w:t xml:space="preserve">As per the </w:t>
      </w:r>
      <w:r w:rsidR="003959A0" w:rsidRPr="003959A0">
        <w:t>accounting standpoint, the simulation illustrates how different transfer pricing methods directly affect divisional revenues, reported profits, and ultimately consolidated group tax liabilities.</w:t>
      </w:r>
      <w:r w:rsidR="003959A0">
        <w:t xml:space="preserve"> </w:t>
      </w:r>
      <w:r>
        <w:t>It is also important to indicate that M</w:t>
      </w:r>
      <w:r w:rsidR="003959A0" w:rsidRPr="003959A0">
        <w:t xml:space="preserve">arket-Based Pricing (USA Hardware) yields </w:t>
      </w:r>
      <w:r w:rsidR="003959A0" w:rsidRPr="003959A0">
        <w:lastRenderedPageBreak/>
        <w:t>the highest per-unit price and strong divisional profitability, closely tied to prevailing industry benchmarks</w:t>
      </w:r>
      <w:r>
        <w:t xml:space="preserve"> and t</w:t>
      </w:r>
      <w:r w:rsidR="003959A0" w:rsidRPr="003959A0">
        <w:t xml:space="preserve">his aligns with the arm’s-length principle, offering strong defensibility for tax purposes. </w:t>
      </w:r>
      <w:r>
        <w:t xml:space="preserve">So, on the basis of that </w:t>
      </w:r>
      <w:r w:rsidR="003959A0" w:rsidRPr="003959A0">
        <w:t>it may result in higher taxable income in high-tax jurisdictions like the USA.</w:t>
      </w:r>
      <w:r w:rsidR="003959A0">
        <w:t xml:space="preserve"> </w:t>
      </w:r>
      <w:r>
        <w:t xml:space="preserve">It also consists of </w:t>
      </w:r>
      <w:r w:rsidR="003959A0" w:rsidRPr="003959A0">
        <w:t xml:space="preserve">Cost-Plus Pricing (Ireland Software) </w:t>
      </w:r>
      <w:r>
        <w:t xml:space="preserve">which </w:t>
      </w:r>
      <w:r w:rsidR="003959A0" w:rsidRPr="003959A0">
        <w:t>produces the lowest per-unit revenue due to a modest 30% markup on cost, shifting less profit to this division</w:t>
      </w:r>
      <w:r>
        <w:t xml:space="preserve"> and w</w:t>
      </w:r>
      <w:r w:rsidR="003959A0" w:rsidRPr="003959A0">
        <w:t>hile this is beneficial if Ireland’s corporate tax rate is lower, aggressive under-markups could be challenged by tax authorities if not aligned with functional analysis benchmarks.</w:t>
      </w:r>
      <w:r w:rsidR="003959A0">
        <w:t xml:space="preserve"> </w:t>
      </w:r>
      <w:r>
        <w:t xml:space="preserve">It also comprises of </w:t>
      </w:r>
      <w:r w:rsidR="003959A0" w:rsidRPr="003959A0">
        <w:t xml:space="preserve">Negotiated Pricing (Singapore Cloud) lands between the other two methods, balancing inter-division needs. </w:t>
      </w:r>
      <w:r>
        <w:t xml:space="preserve">As per the </w:t>
      </w:r>
      <w:r w:rsidR="003959A0" w:rsidRPr="003959A0">
        <w:t>accounting control perspective, it encourages autonomy but introduces variability and potential inefficiency if negotiations deviate from arm’s-length norms.</w:t>
      </w:r>
    </w:p>
    <w:bookmarkEnd w:id="2"/>
    <w:p w14:paraId="6E88F0BE" w14:textId="77777777" w:rsidR="00416180" w:rsidRDefault="00416180" w:rsidP="00416180">
      <w:pPr>
        <w:spacing w:line="480" w:lineRule="auto"/>
        <w:jc w:val="center"/>
        <w:rPr>
          <w:b/>
          <w:bCs/>
        </w:rPr>
      </w:pPr>
      <w:r w:rsidRPr="00416180">
        <w:rPr>
          <w:b/>
          <w:bCs/>
        </w:rPr>
        <w:t>Ethical Considerations in Transfer Pricing</w:t>
      </w:r>
    </w:p>
    <w:p w14:paraId="126C9554" w14:textId="350CD6D3" w:rsidR="00A61DDF" w:rsidRDefault="00A61DDF" w:rsidP="00A61DDF">
      <w:pPr>
        <w:spacing w:line="480" w:lineRule="auto"/>
      </w:pPr>
      <w:r>
        <w:rPr>
          <w:b/>
          <w:bCs/>
        </w:rPr>
        <w:tab/>
      </w:r>
      <w:r w:rsidR="00097FF7">
        <w:t xml:space="preserve">It is evident from the studies that the </w:t>
      </w:r>
      <w:r w:rsidRPr="00A61DDF">
        <w:t xml:space="preserve">Transfer pricing (TP) sits at the intersection of legal compliance and corporate responsibility. </w:t>
      </w:r>
      <w:r w:rsidR="00097FF7">
        <w:t xml:space="preserve">Based on the </w:t>
      </w:r>
      <w:r w:rsidRPr="00A61DDF">
        <w:t xml:space="preserve">arm’s-length principle </w:t>
      </w:r>
      <w:r w:rsidR="00097FF7">
        <w:t xml:space="preserve">which </w:t>
      </w:r>
      <w:r w:rsidRPr="00A61DDF">
        <w:t xml:space="preserve">aims to ensure that intra-group prices mirror independent-party terms, companies may still exploit gaps to shift profits to low-tax jurisdictions—eroding public revenues where real value is created and undermining social trust. </w:t>
      </w:r>
      <w:r w:rsidR="00097FF7">
        <w:t xml:space="preserve">In accordance with the </w:t>
      </w:r>
      <w:r w:rsidRPr="00A61DDF">
        <w:t xml:space="preserve">ethical concern is not only </w:t>
      </w:r>
      <w:r w:rsidRPr="00A61DDF">
        <w:rPr>
          <w:i/>
          <w:iCs/>
        </w:rPr>
        <w:t>whether</w:t>
      </w:r>
      <w:r w:rsidRPr="00A61DDF">
        <w:t xml:space="preserve"> practices are legal but </w:t>
      </w:r>
      <w:r w:rsidRPr="00A61DDF">
        <w:rPr>
          <w:i/>
          <w:iCs/>
        </w:rPr>
        <w:t>whether</w:t>
      </w:r>
      <w:r w:rsidRPr="00A61DDF">
        <w:t xml:space="preserve"> reported profits fairly reflect substance (people, assets, risks) across countries. </w:t>
      </w:r>
      <w:r w:rsidR="00097FF7">
        <w:t>However, as per the h</w:t>
      </w:r>
      <w:r w:rsidRPr="00A61DDF">
        <w:t xml:space="preserve">eightened enforcement—e.g., the EU court’s 2024 decision requiring Apple to pay €13bn in Irish back taxes—signals a normative push for profit-location alignment with real activity. </w:t>
      </w:r>
    </w:p>
    <w:p w14:paraId="71FBBCFB" w14:textId="640D2AC7" w:rsidR="00A61DDF" w:rsidRDefault="00097FF7" w:rsidP="00A61DDF">
      <w:pPr>
        <w:spacing w:line="480" w:lineRule="auto"/>
        <w:ind w:firstLine="720"/>
      </w:pPr>
      <w:r>
        <w:t>One of the most r</w:t>
      </w:r>
      <w:r w:rsidR="00A61DDF" w:rsidRPr="00A61DDF">
        <w:t>ecent high-profile case (past 18 months): Starbucks (2025).</w:t>
      </w:r>
    </w:p>
    <w:p w14:paraId="66C1F934" w14:textId="0F35BCA1" w:rsidR="00A61DDF" w:rsidRDefault="00A61DDF" w:rsidP="00A61DDF">
      <w:pPr>
        <w:spacing w:line="480" w:lineRule="auto"/>
        <w:ind w:firstLine="720"/>
      </w:pPr>
      <w:r w:rsidRPr="00A61DDF">
        <w:lastRenderedPageBreak/>
        <w:t xml:space="preserve">In </w:t>
      </w:r>
      <w:r w:rsidR="00097FF7">
        <w:t xml:space="preserve">accordance with the </w:t>
      </w:r>
      <w:r w:rsidRPr="00A61DDF">
        <w:t xml:space="preserve">March–April 2025, a CICTAR investigation and subsequent reporting alleged Starbucks channeled at least $1.3 billion in profits over a decade through a Swiss subsidiary linked to “ethical sourcing,” effectively reducing tax in higher-tax markets. </w:t>
      </w:r>
      <w:r w:rsidR="0064371F">
        <w:t xml:space="preserve">On the basis of that </w:t>
      </w:r>
      <w:r w:rsidRPr="00A61DDF">
        <w:t xml:space="preserve">Starbucks </w:t>
      </w:r>
      <w:r w:rsidR="0064371F" w:rsidRPr="00A61DDF">
        <w:t>states,</w:t>
      </w:r>
      <w:r w:rsidRPr="00A61DDF">
        <w:t xml:space="preserve"> it complies with the law and that the Swiss entity is operationally “essential,” but the arrangement drew criticism for opacity and potential misalignment between profit booking and underlying value creation.</w:t>
      </w:r>
      <w:r w:rsidR="0064371F">
        <w:t xml:space="preserve"> As per the </w:t>
      </w:r>
      <w:r w:rsidRPr="00A61DDF">
        <w:t xml:space="preserve">ethical standpoint, the use of an “ethical sourcing” frame to buttress a low-tax routing invites accusations of purpose-washing if the economic substance (functions, decision-making, and risks) outside Switzerland remains significant. </w:t>
      </w:r>
      <w:r w:rsidR="0064371F">
        <w:t xml:space="preserve">Based on the </w:t>
      </w:r>
      <w:r w:rsidRPr="00A61DDF">
        <w:t xml:space="preserve">broader societal impact is non-trivial: when large taxpayers minimize contributions, fiscal burdens shift—or public services shrink—where sales and labor actually occur. </w:t>
      </w:r>
    </w:p>
    <w:p w14:paraId="0B3FCE5E" w14:textId="331CFAF2" w:rsidR="0076428E" w:rsidRPr="0064371F" w:rsidRDefault="0064371F" w:rsidP="0064371F">
      <w:pPr>
        <w:spacing w:line="480" w:lineRule="auto"/>
        <w:ind w:firstLine="720"/>
      </w:pPr>
      <w:r>
        <w:t>It tends to be based on s</w:t>
      </w:r>
      <w:r w:rsidR="00A61DDF" w:rsidRPr="00A61DDF">
        <w:t xml:space="preserve">hareholders </w:t>
      </w:r>
      <w:r>
        <w:t xml:space="preserve">which </w:t>
      </w:r>
      <w:r w:rsidR="00A61DDF" w:rsidRPr="00A61DDF">
        <w:t xml:space="preserve">may welcome tax savings, but stakeholders—including employees, local communities, and governments—bear the externality of diminished revenues. </w:t>
      </w:r>
      <w:r>
        <w:t>It also consists of e</w:t>
      </w:r>
      <w:r w:rsidR="00A61DDF" w:rsidRPr="00A61DDF">
        <w:t xml:space="preserve">thical TP </w:t>
      </w:r>
      <w:r>
        <w:t xml:space="preserve">which </w:t>
      </w:r>
      <w:r w:rsidR="00A61DDF" w:rsidRPr="00A61DDF">
        <w:t xml:space="preserve">therefore </w:t>
      </w:r>
      <w:r w:rsidRPr="00A61DDF">
        <w:t>weighs</w:t>
      </w:r>
      <w:r w:rsidR="00A61DDF" w:rsidRPr="00A61DDF">
        <w:t xml:space="preserve"> </w:t>
      </w:r>
      <w:r w:rsidR="00A61DDF" w:rsidRPr="00A61DDF">
        <w:rPr>
          <w:i/>
          <w:iCs/>
        </w:rPr>
        <w:t>procedural fairness</w:t>
      </w:r>
      <w:r w:rsidR="00A61DDF" w:rsidRPr="00A61DDF">
        <w:t xml:space="preserve"> (transparent methodologies, defensible comparables) and </w:t>
      </w:r>
      <w:r w:rsidR="00A61DDF" w:rsidRPr="00A61DDF">
        <w:rPr>
          <w:i/>
          <w:iCs/>
        </w:rPr>
        <w:t>distributive fairness</w:t>
      </w:r>
      <w:r w:rsidR="00A61DDF" w:rsidRPr="00A61DDF">
        <w:t xml:space="preserve"> (profits where substance sits).</w:t>
      </w:r>
      <w:r>
        <w:t xml:space="preserve"> According to the </w:t>
      </w:r>
      <w:r w:rsidR="00A61DDF" w:rsidRPr="00A61DDF">
        <w:t xml:space="preserve">Apple </w:t>
      </w:r>
      <w:r>
        <w:t xml:space="preserve">which </w:t>
      </w:r>
      <w:r w:rsidR="00A61DDF" w:rsidRPr="00A61DDF">
        <w:t>ruling underscores that even sophisticated structures can fail if they produce advantages viewed as selective or misaligned with market reality.</w:t>
      </w:r>
    </w:p>
    <w:p w14:paraId="0FE5B508" w14:textId="77777777" w:rsidR="00416180" w:rsidRDefault="00416180" w:rsidP="00416180">
      <w:pPr>
        <w:spacing w:line="480" w:lineRule="auto"/>
        <w:jc w:val="center"/>
        <w:rPr>
          <w:rFonts w:eastAsia="Aptos"/>
          <w:b/>
          <w:bCs/>
          <w:color w:val="000000"/>
          <w:kern w:val="2"/>
          <w14:ligatures w14:val="standardContextual"/>
        </w:rPr>
      </w:pPr>
      <w:r w:rsidRPr="00416180">
        <w:rPr>
          <w:rFonts w:eastAsia="Aptos"/>
          <w:b/>
          <w:bCs/>
          <w:color w:val="000000"/>
          <w:kern w:val="2"/>
          <w14:ligatures w14:val="standardContextual"/>
        </w:rPr>
        <w:t>Transfer Pricing and Emerging Technologies (AI, Blockchain)</w:t>
      </w:r>
    </w:p>
    <w:p w14:paraId="5BE613F4" w14:textId="093ED99C" w:rsidR="00A61DDF" w:rsidRPr="00A61DDF" w:rsidRDefault="00504E8E" w:rsidP="00A61DDF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color w:val="000000"/>
          <w:kern w:val="2"/>
          <w14:ligatures w14:val="standardContextual"/>
        </w:rPr>
        <w:t xml:space="preserve">It is analysed from the previous studies that the </w:t>
      </w:r>
      <w:r w:rsidR="00A61DDF" w:rsidRPr="00A61DDF">
        <w:rPr>
          <w:rFonts w:eastAsia="Aptos"/>
          <w:color w:val="000000"/>
          <w:kern w:val="2"/>
          <w14:ligatures w14:val="standardContextual"/>
        </w:rPr>
        <w:t xml:space="preserve">Transfer pricing (TP) lives or dies on data quality, comparables, and documentation across the OECD “three-tier” framework (master file, local file, CbCR). </w:t>
      </w:r>
      <w:r>
        <w:rPr>
          <w:rFonts w:eastAsia="Aptos"/>
          <w:color w:val="000000"/>
          <w:kern w:val="2"/>
          <w14:ligatures w14:val="standardContextual"/>
        </w:rPr>
        <w:t>However, on the other hand, d</w:t>
      </w:r>
      <w:r w:rsidR="00A61DDF" w:rsidRPr="00A61DDF">
        <w:rPr>
          <w:rFonts w:eastAsia="Aptos"/>
          <w:color w:val="000000"/>
          <w:kern w:val="2"/>
          <w14:ligatures w14:val="standardContextual"/>
        </w:rPr>
        <w:t xml:space="preserve">igitalization is now a top global tax priority, and tax authorities are scaling analytics—so companies need tooling that is accurate, explainable, and audit-ready. </w:t>
      </w:r>
    </w:p>
    <w:p w14:paraId="056BCB7A" w14:textId="1AFDF4EF" w:rsidR="00A61DDF" w:rsidRPr="00A61DDF" w:rsidRDefault="00A61DDF" w:rsidP="00504E8E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 w:rsidRPr="00A61DDF">
        <w:rPr>
          <w:rFonts w:eastAsia="Aptos"/>
          <w:color w:val="000000"/>
          <w:kern w:val="2"/>
          <w14:ligatures w14:val="standardContextual"/>
        </w:rPr>
        <w:lastRenderedPageBreak/>
        <w:t>A</w:t>
      </w:r>
      <w:r w:rsidR="00504E8E">
        <w:rPr>
          <w:rFonts w:eastAsia="Aptos"/>
          <w:color w:val="000000"/>
          <w:kern w:val="2"/>
          <w14:ligatures w14:val="standardContextual"/>
        </w:rPr>
        <w:t xml:space="preserve">s per the analysis from the recent research, the </w:t>
      </w:r>
      <w:r w:rsidRPr="00A61DDF">
        <w:rPr>
          <w:rFonts w:eastAsia="Aptos"/>
          <w:color w:val="000000"/>
          <w:kern w:val="2"/>
          <w14:ligatures w14:val="standardContextual"/>
        </w:rPr>
        <w:t xml:space="preserve">Generative and predictive AI can assemble first-draft TP files, extract and harmonize intercompany data, map transaction flows, and continuously test outcomes against benchmarks. </w:t>
      </w:r>
      <w:r w:rsidR="00504E8E">
        <w:rPr>
          <w:rFonts w:eastAsia="Aptos"/>
          <w:color w:val="000000"/>
          <w:kern w:val="2"/>
          <w14:ligatures w14:val="standardContextual"/>
        </w:rPr>
        <w:t>Based on the l</w:t>
      </w:r>
      <w:r w:rsidRPr="00A61DDF">
        <w:rPr>
          <w:rFonts w:eastAsia="Aptos"/>
          <w:color w:val="000000"/>
          <w:kern w:val="2"/>
          <w14:ligatures w14:val="standardContextual"/>
        </w:rPr>
        <w:t xml:space="preserve">eaders report </w:t>
      </w:r>
      <w:r w:rsidR="00504E8E">
        <w:rPr>
          <w:rFonts w:eastAsia="Aptos"/>
          <w:color w:val="000000"/>
          <w:kern w:val="2"/>
          <w14:ligatures w14:val="standardContextual"/>
        </w:rPr>
        <w:t xml:space="preserve">in which </w:t>
      </w:r>
      <w:r w:rsidRPr="00A61DDF">
        <w:rPr>
          <w:rFonts w:eastAsia="Aptos"/>
          <w:color w:val="000000"/>
          <w:kern w:val="2"/>
          <w14:ligatures w14:val="standardContextual"/>
        </w:rPr>
        <w:t xml:space="preserve">they are most comfortable deploying AI to TP documentation, followed by provision and returns—evidence that documentation is the near-term “sweet spot.” </w:t>
      </w:r>
    </w:p>
    <w:p w14:paraId="1369B4CE" w14:textId="759049EE" w:rsidR="00A61DDF" w:rsidRPr="00A61DDF" w:rsidRDefault="00A61DDF" w:rsidP="00A61DDF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 w:rsidRPr="00A61DDF">
        <w:rPr>
          <w:rFonts w:eastAsia="Aptos"/>
          <w:color w:val="000000"/>
          <w:kern w:val="2"/>
          <w14:ligatures w14:val="standardContextual"/>
        </w:rPr>
        <w:t>A</w:t>
      </w:r>
      <w:r w:rsidR="00504E8E">
        <w:rPr>
          <w:rFonts w:eastAsia="Aptos"/>
          <w:color w:val="000000"/>
          <w:kern w:val="2"/>
          <w14:ligatures w14:val="standardContextual"/>
        </w:rPr>
        <w:t>s per the s</w:t>
      </w:r>
      <w:r w:rsidRPr="00A61DDF">
        <w:rPr>
          <w:rFonts w:eastAsia="Aptos"/>
          <w:color w:val="000000"/>
          <w:kern w:val="2"/>
          <w14:ligatures w14:val="standardContextual"/>
        </w:rPr>
        <w:t xml:space="preserve">upervised models </w:t>
      </w:r>
      <w:r w:rsidR="00504E8E">
        <w:rPr>
          <w:rFonts w:eastAsia="Aptos"/>
          <w:color w:val="000000"/>
          <w:kern w:val="2"/>
          <w14:ligatures w14:val="standardContextual"/>
        </w:rPr>
        <w:t xml:space="preserve">which ultimately </w:t>
      </w:r>
      <w:r w:rsidRPr="00A61DDF">
        <w:rPr>
          <w:rFonts w:eastAsia="Aptos"/>
          <w:color w:val="000000"/>
          <w:kern w:val="2"/>
          <w14:ligatures w14:val="standardContextual"/>
        </w:rPr>
        <w:t xml:space="preserve">learn from internal and external comparables to estimate price/markup ranges for routine manufacturing or services; LLMs can summarize functional/D-E-M-P-E analyses and flag inconsistencies across entities. </w:t>
      </w:r>
      <w:r w:rsidR="00504E8E">
        <w:rPr>
          <w:rFonts w:eastAsia="Aptos"/>
          <w:color w:val="000000"/>
          <w:kern w:val="2"/>
          <w14:ligatures w14:val="standardContextual"/>
        </w:rPr>
        <w:t>However, it tends to be u</w:t>
      </w:r>
      <w:r w:rsidRPr="00A61DDF">
        <w:rPr>
          <w:rFonts w:eastAsia="Aptos"/>
          <w:color w:val="000000"/>
          <w:kern w:val="2"/>
          <w14:ligatures w14:val="standardContextual"/>
        </w:rPr>
        <w:t xml:space="preserve">sed well, this can streamline audits, accelerate controversy resolution, and focus human effort on judgments (e.g., unique intangibles). </w:t>
      </w:r>
      <w:r w:rsidR="00504E8E">
        <w:rPr>
          <w:rFonts w:eastAsia="Aptos"/>
          <w:color w:val="000000"/>
          <w:kern w:val="2"/>
          <w14:ligatures w14:val="standardContextual"/>
        </w:rPr>
        <w:t>On the other hand, if u</w:t>
      </w:r>
      <w:r w:rsidRPr="00A61DDF">
        <w:rPr>
          <w:rFonts w:eastAsia="Aptos"/>
          <w:color w:val="000000"/>
          <w:kern w:val="2"/>
          <w14:ligatures w14:val="standardContextual"/>
        </w:rPr>
        <w:t>sed poorly, it can create “</w:t>
      </w:r>
      <w:r w:rsidR="00504E8E" w:rsidRPr="00A61DDF">
        <w:rPr>
          <w:rFonts w:eastAsia="Aptos"/>
          <w:color w:val="000000"/>
          <w:kern w:val="2"/>
          <w14:ligatures w14:val="standardContextual"/>
        </w:rPr>
        <w:t>black box</w:t>
      </w:r>
      <w:r w:rsidRPr="00A61DDF">
        <w:rPr>
          <w:rFonts w:eastAsia="Aptos"/>
          <w:color w:val="000000"/>
          <w:kern w:val="2"/>
          <w14:ligatures w14:val="standardContextual"/>
        </w:rPr>
        <w:t>” pricing, over-fit to weak comparables, or trigger an “AI arms race” with tax authorities deploying their own models.</w:t>
      </w:r>
    </w:p>
    <w:p w14:paraId="594A0020" w14:textId="692FE25E" w:rsidR="00A61DDF" w:rsidRPr="00A61DDF" w:rsidRDefault="00A61DDF" w:rsidP="00A61DDF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 w:rsidRPr="00A61DDF">
        <w:rPr>
          <w:rFonts w:eastAsia="Aptos"/>
          <w:color w:val="000000"/>
          <w:kern w:val="2"/>
          <w14:ligatures w14:val="standardContextual"/>
        </w:rPr>
        <w:t>A</w:t>
      </w:r>
      <w:r w:rsidR="00504E8E">
        <w:rPr>
          <w:rFonts w:eastAsia="Aptos"/>
          <w:color w:val="000000"/>
          <w:kern w:val="2"/>
          <w14:ligatures w14:val="standardContextual"/>
        </w:rPr>
        <w:t>ccording to the a</w:t>
      </w:r>
      <w:r w:rsidRPr="00A61DDF">
        <w:rPr>
          <w:rFonts w:eastAsia="Aptos"/>
          <w:color w:val="000000"/>
          <w:kern w:val="2"/>
          <w14:ligatures w14:val="standardContextual"/>
        </w:rPr>
        <w:t>ccounting and compliance impact</w:t>
      </w:r>
      <w:r w:rsidR="00504E8E">
        <w:rPr>
          <w:rFonts w:eastAsia="Aptos"/>
          <w:color w:val="000000"/>
          <w:kern w:val="2"/>
          <w14:ligatures w14:val="standardContextual"/>
        </w:rPr>
        <w:t xml:space="preserve">, </w:t>
      </w:r>
      <w:r w:rsidRPr="00A61DDF">
        <w:rPr>
          <w:rFonts w:eastAsia="Aptos"/>
          <w:color w:val="000000"/>
          <w:kern w:val="2"/>
          <w14:ligatures w14:val="standardContextual"/>
        </w:rPr>
        <w:t xml:space="preserve">AI reduces cycle time to produce consistent master/local files, improves internal controls over TP processes, and enables continuous monitoring for Pillar Two interactions (e.g., where residual profit sits). </w:t>
      </w:r>
      <w:r w:rsidR="00504E8E">
        <w:rPr>
          <w:rFonts w:eastAsia="Aptos"/>
          <w:color w:val="000000"/>
          <w:kern w:val="2"/>
          <w14:ligatures w14:val="standardContextual"/>
        </w:rPr>
        <w:t xml:space="preserve">So, on the basis of that the </w:t>
      </w:r>
      <w:r w:rsidRPr="00A61DDF">
        <w:rPr>
          <w:rFonts w:eastAsia="Aptos"/>
          <w:color w:val="000000"/>
          <w:kern w:val="2"/>
          <w14:ligatures w14:val="standardContextual"/>
        </w:rPr>
        <w:t xml:space="preserve">accuracy is only as good as the data pipeline—garbage-in/garbage-out remains the core risk. </w:t>
      </w:r>
    </w:p>
    <w:p w14:paraId="06F3BBCC" w14:textId="77777777" w:rsidR="00A61DDF" w:rsidRPr="00A61DDF" w:rsidRDefault="00A61DDF" w:rsidP="00A61DDF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 w:rsidRPr="00A61DDF">
        <w:rPr>
          <w:rFonts w:eastAsia="Aptos"/>
          <w:color w:val="000000"/>
          <w:kern w:val="2"/>
          <w14:ligatures w14:val="standardContextual"/>
        </w:rPr>
        <w:t>Blockchain: Tamper-evident, shared audit trails</w:t>
      </w:r>
    </w:p>
    <w:p w14:paraId="07E018EB" w14:textId="6559D828" w:rsidR="0076428E" w:rsidRPr="00186643" w:rsidRDefault="00504E8E" w:rsidP="00186643">
      <w:pPr>
        <w:spacing w:line="480" w:lineRule="auto"/>
        <w:ind w:firstLine="720"/>
        <w:rPr>
          <w:rFonts w:eastAsia="Aptos"/>
          <w:color w:val="000000"/>
          <w:kern w:val="2"/>
          <w14:ligatures w14:val="standardContextual"/>
        </w:rPr>
      </w:pPr>
      <w:r>
        <w:rPr>
          <w:rFonts w:eastAsia="Aptos"/>
          <w:color w:val="000000"/>
          <w:kern w:val="2"/>
          <w14:ligatures w14:val="standardContextual"/>
        </w:rPr>
        <w:t xml:space="preserve">Based on the </w:t>
      </w:r>
      <w:r w:rsidR="00A61DDF" w:rsidRPr="00A61DDF">
        <w:rPr>
          <w:rFonts w:eastAsia="Aptos"/>
          <w:color w:val="000000"/>
          <w:kern w:val="2"/>
          <w14:ligatures w14:val="standardContextual"/>
        </w:rPr>
        <w:t xml:space="preserve">permissioned ledger can record intercompany transactions, terms, and supporting evidence in real time. </w:t>
      </w:r>
      <w:r>
        <w:rPr>
          <w:rFonts w:eastAsia="Aptos"/>
          <w:color w:val="000000"/>
          <w:kern w:val="2"/>
          <w14:ligatures w14:val="standardContextual"/>
        </w:rPr>
        <w:t>In accordance with that t</w:t>
      </w:r>
      <w:r w:rsidR="00A61DDF" w:rsidRPr="00A61DDF">
        <w:rPr>
          <w:rFonts w:eastAsia="Aptos"/>
          <w:color w:val="000000"/>
          <w:kern w:val="2"/>
          <w14:ligatures w14:val="standardContextual"/>
        </w:rPr>
        <w:t xml:space="preserve">his creates a single source of truth across group entities and timestamps changes for immutable audit trails—useful when reconciling actual flows to documented policies. </w:t>
      </w:r>
      <w:r>
        <w:rPr>
          <w:rFonts w:eastAsia="Aptos"/>
          <w:color w:val="000000"/>
          <w:kern w:val="2"/>
          <w14:ligatures w14:val="standardContextual"/>
        </w:rPr>
        <w:t>It tends to analysed that s</w:t>
      </w:r>
      <w:r w:rsidR="00A61DDF" w:rsidRPr="00A61DDF">
        <w:rPr>
          <w:rFonts w:eastAsia="Aptos"/>
          <w:color w:val="000000"/>
          <w:kern w:val="2"/>
          <w14:ligatures w14:val="standardContextual"/>
        </w:rPr>
        <w:t>mart contracts could even encode price formulas or APA parameters to enforce consistent execution</w:t>
      </w:r>
      <w:r>
        <w:rPr>
          <w:rFonts w:eastAsia="Aptos"/>
          <w:color w:val="000000"/>
          <w:kern w:val="2"/>
          <w14:ligatures w14:val="standardContextual"/>
        </w:rPr>
        <w:t xml:space="preserve"> such as l</w:t>
      </w:r>
      <w:r w:rsidR="00A61DDF" w:rsidRPr="00A61DDF">
        <w:rPr>
          <w:rFonts w:eastAsia="Aptos"/>
          <w:color w:val="000000"/>
          <w:kern w:val="2"/>
          <w14:ligatures w14:val="standardContextual"/>
        </w:rPr>
        <w:t xml:space="preserve">egal and </w:t>
      </w:r>
      <w:r w:rsidR="00A61DDF" w:rsidRPr="00A61DDF">
        <w:rPr>
          <w:rFonts w:eastAsia="Aptos"/>
          <w:color w:val="000000"/>
          <w:kern w:val="2"/>
          <w14:ligatures w14:val="standardContextual"/>
        </w:rPr>
        <w:lastRenderedPageBreak/>
        <w:t xml:space="preserve">interoperability hurdles remain, but the transparency and lineage are compelling for TP evidence packs.  </w:t>
      </w:r>
    </w:p>
    <w:bookmarkEnd w:id="0"/>
    <w:p w14:paraId="7F79F8D8" w14:textId="7A4FC14F" w:rsidR="000455F6" w:rsidRDefault="000455F6" w:rsidP="00C42A69">
      <w:pPr>
        <w:spacing w:line="480" w:lineRule="auto"/>
        <w:jc w:val="center"/>
        <w:rPr>
          <w:b/>
          <w:color w:val="000000"/>
        </w:rPr>
      </w:pPr>
      <w:r w:rsidRPr="007E1727">
        <w:rPr>
          <w:b/>
          <w:color w:val="000000"/>
        </w:rPr>
        <w:t>Conclusion</w:t>
      </w:r>
    </w:p>
    <w:p w14:paraId="71E3DE5C" w14:textId="543561DC" w:rsidR="00A61DDF" w:rsidRPr="00A61DDF" w:rsidRDefault="00A61DDF" w:rsidP="00A61DDF">
      <w:pPr>
        <w:spacing w:line="480" w:lineRule="auto"/>
        <w:rPr>
          <w:bCs/>
          <w:color w:val="000000"/>
        </w:rPr>
      </w:pPr>
      <w:r w:rsidRPr="00A61DDF">
        <w:rPr>
          <w:bCs/>
          <w:color w:val="000000"/>
        </w:rPr>
        <w:tab/>
      </w:r>
      <w:r w:rsidR="00504E8E">
        <w:rPr>
          <w:bCs/>
          <w:color w:val="000000"/>
        </w:rPr>
        <w:t>According to the above analysis, which tends to conclude that the t</w:t>
      </w:r>
      <w:r w:rsidRPr="00A61DDF">
        <w:rPr>
          <w:bCs/>
          <w:color w:val="000000"/>
        </w:rPr>
        <w:t xml:space="preserve">ransfer pricing is ultimately a governance discipline: selecting market-based, cost-plus, or negotiated methods that truly reflect functions, assets, and risks while balancing tax efficiency, performance measurement, and regulatory defensibility. </w:t>
      </w:r>
      <w:r w:rsidR="00504E8E">
        <w:rPr>
          <w:bCs/>
          <w:color w:val="000000"/>
        </w:rPr>
        <w:t xml:space="preserve">However, based on the analysis which </w:t>
      </w:r>
      <w:r w:rsidRPr="00A61DDF">
        <w:rPr>
          <w:bCs/>
          <w:color w:val="000000"/>
        </w:rPr>
        <w:t xml:space="preserve">shows that method-mixing—anchored in arm’s-length evidence, robust documentation, and ethical guardrails—can optimize group outcomes without shifting profits away from substance. </w:t>
      </w:r>
      <w:r w:rsidR="00504E8E">
        <w:rPr>
          <w:bCs/>
          <w:color w:val="000000"/>
        </w:rPr>
        <w:t xml:space="preserve">It is important to understand that </w:t>
      </w:r>
      <w:r w:rsidRPr="00A61DDF">
        <w:rPr>
          <w:bCs/>
          <w:color w:val="000000"/>
        </w:rPr>
        <w:t>AI- and blockchain-enabled controls can elevate audit readiness and transparency, but only when embedded in a clear policy framework (e.g., APAs, Pillar Two alignment, and meaningful public disclosures) that turns technology into durable compliance and corporate responsibility.</w:t>
      </w:r>
    </w:p>
    <w:p w14:paraId="4205F7E0" w14:textId="4DD67518" w:rsidR="00A61DDF" w:rsidRPr="007E1727" w:rsidRDefault="00A61DDF" w:rsidP="00A61DDF">
      <w:pPr>
        <w:spacing w:line="480" w:lineRule="auto"/>
        <w:rPr>
          <w:b/>
          <w:color w:val="000000"/>
        </w:rPr>
      </w:pPr>
    </w:p>
    <w:bookmarkEnd w:id="1"/>
    <w:p w14:paraId="7EA88FDA" w14:textId="77777777" w:rsidR="00E93EB2" w:rsidRDefault="000455F6" w:rsidP="00E93EB2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-360"/>
        <w:jc w:val="center"/>
        <w:textAlignment w:val="baseline"/>
        <w:rPr>
          <w:b/>
          <w:color w:val="000000"/>
        </w:rPr>
      </w:pPr>
      <w:r w:rsidRPr="007E1727">
        <w:rPr>
          <w:color w:val="000000"/>
        </w:rPr>
        <w:br w:type="page"/>
      </w:r>
      <w:r w:rsidRPr="007E1727">
        <w:rPr>
          <w:b/>
          <w:color w:val="000000"/>
        </w:rPr>
        <w:lastRenderedPageBreak/>
        <w:t>References</w:t>
      </w:r>
    </w:p>
    <w:p w14:paraId="14ACAACE" w14:textId="77777777" w:rsidR="00E93EB2" w:rsidRPr="00E93EB2" w:rsidRDefault="00E93EB2" w:rsidP="00E93EB2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714" w:hanging="357"/>
        <w:textAlignment w:val="baseline"/>
        <w:rPr>
          <w:b/>
          <w:color w:val="000000"/>
        </w:rPr>
      </w:pPr>
      <w:r w:rsidRPr="00E93EB2">
        <w:rPr>
          <w:bCs/>
          <w:color w:val="000000"/>
        </w:rPr>
        <w:t>Betouil, A., El Haddouti, S., &amp; Chaoui, H. (2025). Global research trends in AI and blockchain for smart grids: A bibliometric analysis with a focus on morocco (2014–2024).</w:t>
      </w:r>
      <w:r w:rsidRPr="00E93EB2">
        <w:rPr>
          <w:bCs/>
          <w:i/>
          <w:iCs/>
          <w:color w:val="000000"/>
        </w:rPr>
        <w:t> Electronics (Basel), 14</w:t>
      </w:r>
      <w:r w:rsidRPr="00E93EB2">
        <w:rPr>
          <w:bCs/>
          <w:color w:val="000000"/>
        </w:rPr>
        <w:t>(12), 2314. </w:t>
      </w:r>
      <w:hyperlink r:id="rId7" w:tgtFrame="_blank" w:history="1">
        <w:r w:rsidRPr="00E93EB2">
          <w:rPr>
            <w:rStyle w:val="Hyperlink"/>
            <w:bCs/>
          </w:rPr>
          <w:t>https://doi.org/10.3390/electronics1412231</w:t>
        </w:r>
      </w:hyperlink>
    </w:p>
    <w:p w14:paraId="72150537" w14:textId="77777777" w:rsidR="00E93EB2" w:rsidRPr="00E93EB2" w:rsidRDefault="00E93EB2" w:rsidP="00E93EB2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714" w:hanging="357"/>
        <w:textAlignment w:val="baseline"/>
        <w:rPr>
          <w:b/>
          <w:color w:val="000000"/>
        </w:rPr>
      </w:pPr>
      <w:r w:rsidRPr="00E93EB2">
        <w:rPr>
          <w:bCs/>
          <w:color w:val="000000"/>
        </w:rPr>
        <w:t>Chandran, P. J. I., Khalil, H. A., Hashir, P., &amp; S, V. (2025). Smart technologies in aquaculture: An integrated IoT, AI, and blockchain framework for sustainable growth.</w:t>
      </w:r>
      <w:r w:rsidRPr="00E93EB2">
        <w:rPr>
          <w:bCs/>
          <w:i/>
          <w:iCs/>
          <w:color w:val="000000"/>
        </w:rPr>
        <w:t> Aquacultural Engineering, 111</w:t>
      </w:r>
      <w:r w:rsidRPr="00E93EB2">
        <w:rPr>
          <w:bCs/>
          <w:color w:val="000000"/>
        </w:rPr>
        <w:t>, 102584. </w:t>
      </w:r>
      <w:hyperlink r:id="rId8" w:tgtFrame="_blank" w:history="1">
        <w:r w:rsidRPr="00E93EB2">
          <w:rPr>
            <w:rStyle w:val="Hyperlink"/>
            <w:bCs/>
          </w:rPr>
          <w:t>https://doi.org/10.1016/j.aquaeng.2025.102584</w:t>
        </w:r>
      </w:hyperlink>
    </w:p>
    <w:p w14:paraId="561515D7" w14:textId="7C84148B" w:rsidR="00E93EB2" w:rsidRPr="00E93EB2" w:rsidRDefault="00E93EB2" w:rsidP="00E93EB2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714" w:hanging="357"/>
        <w:textAlignment w:val="baseline"/>
        <w:rPr>
          <w:b/>
          <w:color w:val="000000"/>
        </w:rPr>
      </w:pPr>
      <w:r w:rsidRPr="00E93EB2">
        <w:rPr>
          <w:bCs/>
          <w:color w:val="000000"/>
        </w:rPr>
        <w:t>Li, Y., &amp; Cheng, Y. (2024). A risk management strategy under transfer pricing for multi-national supply chain along the belt and road initiative.</w:t>
      </w:r>
      <w:r w:rsidRPr="00E93EB2">
        <w:rPr>
          <w:bCs/>
          <w:i/>
          <w:iCs/>
          <w:color w:val="000000"/>
        </w:rPr>
        <w:t> Sustainability, 16</w:t>
      </w:r>
      <w:r w:rsidRPr="00E93EB2">
        <w:rPr>
          <w:bCs/>
          <w:color w:val="000000"/>
        </w:rPr>
        <w:t>(17), 7656. </w:t>
      </w:r>
      <w:hyperlink r:id="rId9" w:tgtFrame="_blank" w:history="1">
        <w:r w:rsidRPr="00E93EB2">
          <w:rPr>
            <w:rStyle w:val="Hyperlink"/>
            <w:bCs/>
          </w:rPr>
          <w:t>https://doi.org/10.3390/su16177656</w:t>
        </w:r>
      </w:hyperlink>
    </w:p>
    <w:p w14:paraId="01F3CDFF" w14:textId="77777777" w:rsidR="00E93EB2" w:rsidRPr="00E93EB2" w:rsidRDefault="00E93EB2" w:rsidP="00E93EB2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714" w:hanging="357"/>
        <w:textAlignment w:val="baseline"/>
        <w:rPr>
          <w:bCs/>
          <w:color w:val="000000"/>
        </w:rPr>
      </w:pPr>
      <w:r w:rsidRPr="00E93EB2">
        <w:rPr>
          <w:bCs/>
          <w:color w:val="000000"/>
        </w:rPr>
        <w:t>Venkataraman, M. (2024). Leveraging blockchain and AI for pharma supply chain efficiency: ConVerge2Xcelerate (ConV2X) 2024 presentation: Managing supplier risk in supply chain with AI and blockchain – A TYS perspective.</w:t>
      </w:r>
      <w:r w:rsidRPr="00E93EB2">
        <w:rPr>
          <w:bCs/>
          <w:i/>
          <w:iCs/>
          <w:color w:val="000000"/>
        </w:rPr>
        <w:t> Blockchain in Healthcare Today, 7</w:t>
      </w:r>
      <w:r w:rsidRPr="00E93EB2">
        <w:rPr>
          <w:bCs/>
          <w:color w:val="000000"/>
        </w:rPr>
        <w:t>(3)</w:t>
      </w:r>
      <w:hyperlink r:id="rId10" w:tgtFrame="_blank" w:history="1">
        <w:r w:rsidRPr="00E93EB2">
          <w:rPr>
            <w:rStyle w:val="Hyperlink"/>
            <w:bCs/>
          </w:rPr>
          <w:t>https://doi.org/10.30953/bhty.v7.374</w:t>
        </w:r>
      </w:hyperlink>
    </w:p>
    <w:p w14:paraId="013270E7" w14:textId="77777777" w:rsidR="00E93EB2" w:rsidRPr="00E93EB2" w:rsidRDefault="00E93EB2" w:rsidP="00E93EB2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714" w:hanging="357"/>
        <w:textAlignment w:val="baseline"/>
        <w:rPr>
          <w:bCs/>
          <w:color w:val="000000"/>
        </w:rPr>
      </w:pPr>
      <w:r w:rsidRPr="00E93EB2">
        <w:rPr>
          <w:bCs/>
          <w:color w:val="000000"/>
        </w:rPr>
        <w:t>Кузнєцов, О., Маслов, В., Кузнєцова, А., Алєксєєв, І., Біла, Ю., &amp; Мазур, А. (2025). essence, criteria and conditions for choosing transfer pricing methods.</w:t>
      </w:r>
      <w:r w:rsidRPr="00E93EB2">
        <w:rPr>
          <w:bCs/>
          <w:i/>
          <w:iCs/>
          <w:color w:val="000000"/>
        </w:rPr>
        <w:t> Fìnansovo-Kreditna dìâlʹnìstʹ: Problemi Teorìì̈ Ta Praktiki (Online), 3</w:t>
      </w:r>
      <w:r w:rsidRPr="00E93EB2">
        <w:rPr>
          <w:bCs/>
          <w:color w:val="000000"/>
        </w:rPr>
        <w:t>(62), 108. </w:t>
      </w:r>
      <w:hyperlink r:id="rId11" w:tgtFrame="_blank" w:history="1">
        <w:r w:rsidRPr="00E93EB2">
          <w:rPr>
            <w:rStyle w:val="Hyperlink"/>
            <w:bCs/>
          </w:rPr>
          <w:t>https://doi.org/10.55643/fcaptp.3.62.2025.4810</w:t>
        </w:r>
      </w:hyperlink>
    </w:p>
    <w:p w14:paraId="0C520018" w14:textId="77777777" w:rsidR="00A42F13" w:rsidRPr="007E1727" w:rsidRDefault="00A42F13" w:rsidP="00E93EB2">
      <w:pPr>
        <w:spacing w:line="480" w:lineRule="auto"/>
        <w:rPr>
          <w:color w:val="000000"/>
        </w:rPr>
      </w:pPr>
    </w:p>
    <w:sectPr w:rsidR="00A42F13" w:rsidRPr="007E1727" w:rsidSect="002830B3">
      <w:head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CBBC" w14:textId="77777777" w:rsidR="00DC2DD1" w:rsidRDefault="00DC2DD1">
      <w:r>
        <w:separator/>
      </w:r>
    </w:p>
  </w:endnote>
  <w:endnote w:type="continuationSeparator" w:id="0">
    <w:p w14:paraId="673FEAE6" w14:textId="77777777" w:rsidR="00DC2DD1" w:rsidRDefault="00DC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A462" w14:textId="77777777" w:rsidR="00DC2DD1" w:rsidRDefault="00DC2DD1">
      <w:r>
        <w:separator/>
      </w:r>
    </w:p>
  </w:footnote>
  <w:footnote w:type="continuationSeparator" w:id="0">
    <w:p w14:paraId="6EA1E972" w14:textId="77777777" w:rsidR="00DC2DD1" w:rsidRDefault="00DC2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E0E2" w14:textId="77777777" w:rsidR="00653666" w:rsidRDefault="00653666" w:rsidP="00026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ECDF87A" w14:textId="60579EDE" w:rsidR="00653666" w:rsidRPr="00352E8D" w:rsidRDefault="0079639B" w:rsidP="003F5158">
    <w:pPr>
      <w:pStyle w:val="Header"/>
      <w:ind w:right="360"/>
      <w:rPr>
        <w:sz w:val="22"/>
        <w:szCs w:val="22"/>
      </w:rPr>
    </w:pPr>
    <w:r>
      <w:t>ACC501</w:t>
    </w:r>
    <w:r w:rsidR="00653666">
      <w:t xml:space="preserve"> </w:t>
    </w:r>
    <w:r w:rsidR="00EC493C">
      <w:t>Case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C7F"/>
    <w:multiLevelType w:val="hybridMultilevel"/>
    <w:tmpl w:val="3C82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1B75"/>
    <w:multiLevelType w:val="multilevel"/>
    <w:tmpl w:val="0F9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D4A11"/>
    <w:multiLevelType w:val="multilevel"/>
    <w:tmpl w:val="8A6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314AD"/>
    <w:multiLevelType w:val="hybridMultilevel"/>
    <w:tmpl w:val="D9B0D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61414"/>
    <w:multiLevelType w:val="hybridMultilevel"/>
    <w:tmpl w:val="E4FC4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F31AE"/>
    <w:multiLevelType w:val="multilevel"/>
    <w:tmpl w:val="2E3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0726"/>
    <w:multiLevelType w:val="hybridMultilevel"/>
    <w:tmpl w:val="CCEA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75F4"/>
    <w:multiLevelType w:val="hybridMultilevel"/>
    <w:tmpl w:val="C8BA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590531"/>
    <w:multiLevelType w:val="multilevel"/>
    <w:tmpl w:val="A4A6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F63B5E"/>
    <w:multiLevelType w:val="hybridMultilevel"/>
    <w:tmpl w:val="83EC6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5915D8"/>
    <w:multiLevelType w:val="multilevel"/>
    <w:tmpl w:val="4BE2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83B43"/>
    <w:multiLevelType w:val="hybridMultilevel"/>
    <w:tmpl w:val="84C8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77A45"/>
    <w:multiLevelType w:val="multilevel"/>
    <w:tmpl w:val="D7D2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5F4F7D"/>
    <w:multiLevelType w:val="hybridMultilevel"/>
    <w:tmpl w:val="66C2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776F3"/>
    <w:multiLevelType w:val="multilevel"/>
    <w:tmpl w:val="58EC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D4747B"/>
    <w:multiLevelType w:val="hybridMultilevel"/>
    <w:tmpl w:val="9A92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42AEE"/>
    <w:multiLevelType w:val="multilevel"/>
    <w:tmpl w:val="50A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1D7AE0"/>
    <w:multiLevelType w:val="hybridMultilevel"/>
    <w:tmpl w:val="A552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33844"/>
    <w:multiLevelType w:val="multilevel"/>
    <w:tmpl w:val="A75E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954E86"/>
    <w:multiLevelType w:val="hybridMultilevel"/>
    <w:tmpl w:val="49E8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A0175"/>
    <w:multiLevelType w:val="hybridMultilevel"/>
    <w:tmpl w:val="466E5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414E8B"/>
    <w:multiLevelType w:val="multilevel"/>
    <w:tmpl w:val="E6F8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C395E"/>
    <w:multiLevelType w:val="multilevel"/>
    <w:tmpl w:val="22B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F2917"/>
    <w:multiLevelType w:val="hybridMultilevel"/>
    <w:tmpl w:val="235A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4A8D6E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C2640"/>
    <w:multiLevelType w:val="hybridMultilevel"/>
    <w:tmpl w:val="17F8C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437F63"/>
    <w:multiLevelType w:val="hybridMultilevel"/>
    <w:tmpl w:val="F36A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20004"/>
    <w:multiLevelType w:val="hybridMultilevel"/>
    <w:tmpl w:val="6C9C3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97ACC"/>
    <w:multiLevelType w:val="hybridMultilevel"/>
    <w:tmpl w:val="7E56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6181D"/>
    <w:multiLevelType w:val="hybridMultilevel"/>
    <w:tmpl w:val="6D1E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5199D"/>
    <w:multiLevelType w:val="hybridMultilevel"/>
    <w:tmpl w:val="9D321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72121"/>
    <w:multiLevelType w:val="multilevel"/>
    <w:tmpl w:val="3DC2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4A7DA7"/>
    <w:multiLevelType w:val="hybridMultilevel"/>
    <w:tmpl w:val="ACB4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04D48"/>
    <w:multiLevelType w:val="hybridMultilevel"/>
    <w:tmpl w:val="6B76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60D51"/>
    <w:multiLevelType w:val="hybridMultilevel"/>
    <w:tmpl w:val="B63A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1709C"/>
    <w:multiLevelType w:val="multilevel"/>
    <w:tmpl w:val="A49A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7446CB"/>
    <w:multiLevelType w:val="hybridMultilevel"/>
    <w:tmpl w:val="49A816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29B1222"/>
    <w:multiLevelType w:val="multilevel"/>
    <w:tmpl w:val="87D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D85337"/>
    <w:multiLevelType w:val="hybridMultilevel"/>
    <w:tmpl w:val="42A65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320368"/>
    <w:multiLevelType w:val="hybridMultilevel"/>
    <w:tmpl w:val="DC94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46A98"/>
    <w:multiLevelType w:val="multilevel"/>
    <w:tmpl w:val="102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DD4E6A"/>
    <w:multiLevelType w:val="multilevel"/>
    <w:tmpl w:val="EFF4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593D2C"/>
    <w:multiLevelType w:val="hybridMultilevel"/>
    <w:tmpl w:val="2610A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C31EBA"/>
    <w:multiLevelType w:val="hybridMultilevel"/>
    <w:tmpl w:val="E7229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32DC0"/>
    <w:multiLevelType w:val="hybridMultilevel"/>
    <w:tmpl w:val="D3C0E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C620CC"/>
    <w:multiLevelType w:val="hybridMultilevel"/>
    <w:tmpl w:val="B6A2E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F3C1121"/>
    <w:multiLevelType w:val="multilevel"/>
    <w:tmpl w:val="91D2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A735E4"/>
    <w:multiLevelType w:val="multilevel"/>
    <w:tmpl w:val="515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A97C58"/>
    <w:multiLevelType w:val="hybridMultilevel"/>
    <w:tmpl w:val="24BA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A42D20"/>
    <w:multiLevelType w:val="multilevel"/>
    <w:tmpl w:val="9E9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3A31DD"/>
    <w:multiLevelType w:val="hybridMultilevel"/>
    <w:tmpl w:val="602E3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9C72876"/>
    <w:multiLevelType w:val="hybridMultilevel"/>
    <w:tmpl w:val="015A4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DF5753F"/>
    <w:multiLevelType w:val="multilevel"/>
    <w:tmpl w:val="6B82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ED1B21"/>
    <w:multiLevelType w:val="multilevel"/>
    <w:tmpl w:val="FEB4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995848"/>
    <w:multiLevelType w:val="hybridMultilevel"/>
    <w:tmpl w:val="369412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453234">
    <w:abstractNumId w:val="29"/>
  </w:num>
  <w:num w:numId="2" w16cid:durableId="1120807250">
    <w:abstractNumId w:val="8"/>
  </w:num>
  <w:num w:numId="3" w16cid:durableId="1316758839">
    <w:abstractNumId w:val="26"/>
  </w:num>
  <w:num w:numId="4" w16cid:durableId="585841334">
    <w:abstractNumId w:val="43"/>
  </w:num>
  <w:num w:numId="5" w16cid:durableId="935283775">
    <w:abstractNumId w:val="1"/>
  </w:num>
  <w:num w:numId="6" w16cid:durableId="1553347218">
    <w:abstractNumId w:val="49"/>
  </w:num>
  <w:num w:numId="7" w16cid:durableId="284702284">
    <w:abstractNumId w:val="44"/>
  </w:num>
  <w:num w:numId="8" w16cid:durableId="526450868">
    <w:abstractNumId w:val="19"/>
  </w:num>
  <w:num w:numId="9" w16cid:durableId="758646836">
    <w:abstractNumId w:val="2"/>
  </w:num>
  <w:num w:numId="10" w16cid:durableId="617224895">
    <w:abstractNumId w:val="31"/>
  </w:num>
  <w:num w:numId="11" w16cid:durableId="889733543">
    <w:abstractNumId w:val="4"/>
  </w:num>
  <w:num w:numId="12" w16cid:durableId="1952976182">
    <w:abstractNumId w:val="46"/>
  </w:num>
  <w:num w:numId="13" w16cid:durableId="1081410631">
    <w:abstractNumId w:val="47"/>
  </w:num>
  <w:num w:numId="14" w16cid:durableId="1762096235">
    <w:abstractNumId w:val="39"/>
  </w:num>
  <w:num w:numId="15" w16cid:durableId="348679622">
    <w:abstractNumId w:val="52"/>
  </w:num>
  <w:num w:numId="16" w16cid:durableId="411855123">
    <w:abstractNumId w:val="36"/>
  </w:num>
  <w:num w:numId="17" w16cid:durableId="1513911860">
    <w:abstractNumId w:val="53"/>
  </w:num>
  <w:num w:numId="18" w16cid:durableId="1600328119">
    <w:abstractNumId w:val="9"/>
  </w:num>
  <w:num w:numId="19" w16cid:durableId="1536044335">
    <w:abstractNumId w:val="7"/>
  </w:num>
  <w:num w:numId="20" w16cid:durableId="127938499">
    <w:abstractNumId w:val="20"/>
  </w:num>
  <w:num w:numId="21" w16cid:durableId="1370373366">
    <w:abstractNumId w:val="37"/>
  </w:num>
  <w:num w:numId="22" w16cid:durableId="1499155493">
    <w:abstractNumId w:val="11"/>
  </w:num>
  <w:num w:numId="23" w16cid:durableId="1982419174">
    <w:abstractNumId w:val="41"/>
  </w:num>
  <w:num w:numId="24" w16cid:durableId="1382436871">
    <w:abstractNumId w:val="3"/>
  </w:num>
  <w:num w:numId="25" w16cid:durableId="121467249">
    <w:abstractNumId w:val="50"/>
  </w:num>
  <w:num w:numId="26" w16cid:durableId="1430809192">
    <w:abstractNumId w:val="35"/>
  </w:num>
  <w:num w:numId="27" w16cid:durableId="1872183926">
    <w:abstractNumId w:val="16"/>
  </w:num>
  <w:num w:numId="28" w16cid:durableId="402945445">
    <w:abstractNumId w:val="5"/>
  </w:num>
  <w:num w:numId="29" w16cid:durableId="1280523971">
    <w:abstractNumId w:val="51"/>
  </w:num>
  <w:num w:numId="30" w16cid:durableId="1285698719">
    <w:abstractNumId w:val="24"/>
  </w:num>
  <w:num w:numId="31" w16cid:durableId="640697024">
    <w:abstractNumId w:val="0"/>
  </w:num>
  <w:num w:numId="32" w16cid:durableId="60761756">
    <w:abstractNumId w:val="17"/>
  </w:num>
  <w:num w:numId="33" w16cid:durableId="1971284657">
    <w:abstractNumId w:val="25"/>
  </w:num>
  <w:num w:numId="34" w16cid:durableId="805585042">
    <w:abstractNumId w:val="28"/>
  </w:num>
  <w:num w:numId="35" w16cid:durableId="140002026">
    <w:abstractNumId w:val="38"/>
  </w:num>
  <w:num w:numId="36" w16cid:durableId="1383485809">
    <w:abstractNumId w:val="42"/>
  </w:num>
  <w:num w:numId="37" w16cid:durableId="52504503">
    <w:abstractNumId w:val="15"/>
  </w:num>
  <w:num w:numId="38" w16cid:durableId="188421103">
    <w:abstractNumId w:val="27"/>
  </w:num>
  <w:num w:numId="39" w16cid:durableId="2066709337">
    <w:abstractNumId w:val="33"/>
  </w:num>
  <w:num w:numId="40" w16cid:durableId="1885368783">
    <w:abstractNumId w:val="32"/>
  </w:num>
  <w:num w:numId="41" w16cid:durableId="201990191">
    <w:abstractNumId w:val="23"/>
  </w:num>
  <w:num w:numId="42" w16cid:durableId="1903787870">
    <w:abstractNumId w:val="6"/>
  </w:num>
  <w:num w:numId="43" w16cid:durableId="1507406770">
    <w:abstractNumId w:val="34"/>
  </w:num>
  <w:num w:numId="44" w16cid:durableId="742676053">
    <w:abstractNumId w:val="48"/>
  </w:num>
  <w:num w:numId="45" w16cid:durableId="1845589957">
    <w:abstractNumId w:val="21"/>
  </w:num>
  <w:num w:numId="46" w16cid:durableId="1921402287">
    <w:abstractNumId w:val="12"/>
  </w:num>
  <w:num w:numId="47" w16cid:durableId="345640352">
    <w:abstractNumId w:val="10"/>
  </w:num>
  <w:num w:numId="48" w16cid:durableId="1804544490">
    <w:abstractNumId w:val="40"/>
  </w:num>
  <w:num w:numId="49" w16cid:durableId="221913219">
    <w:abstractNumId w:val="18"/>
  </w:num>
  <w:num w:numId="50" w16cid:durableId="1387871324">
    <w:abstractNumId w:val="14"/>
  </w:num>
  <w:num w:numId="51" w16cid:durableId="1350570501">
    <w:abstractNumId w:val="45"/>
  </w:num>
  <w:num w:numId="52" w16cid:durableId="1261403390">
    <w:abstractNumId w:val="22"/>
  </w:num>
  <w:num w:numId="53" w16cid:durableId="118955486">
    <w:abstractNumId w:val="30"/>
  </w:num>
  <w:num w:numId="54" w16cid:durableId="1679965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DQ0MzYztzC3MDE0MDFR0lEKTi0uzszPAykwNq0FAOrMf6UtAAAA"/>
  </w:docVars>
  <w:rsids>
    <w:rsidRoot w:val="0050433C"/>
    <w:rsid w:val="00026142"/>
    <w:rsid w:val="00034325"/>
    <w:rsid w:val="0003472F"/>
    <w:rsid w:val="000455F6"/>
    <w:rsid w:val="00047143"/>
    <w:rsid w:val="000511FA"/>
    <w:rsid w:val="0006074E"/>
    <w:rsid w:val="00081629"/>
    <w:rsid w:val="00085C7F"/>
    <w:rsid w:val="00096202"/>
    <w:rsid w:val="00097FF7"/>
    <w:rsid w:val="000A198A"/>
    <w:rsid w:val="000A39A9"/>
    <w:rsid w:val="000B008D"/>
    <w:rsid w:val="000B218C"/>
    <w:rsid w:val="000B6AD6"/>
    <w:rsid w:val="000C144F"/>
    <w:rsid w:val="000C1741"/>
    <w:rsid w:val="000C6AD9"/>
    <w:rsid w:val="000E0F36"/>
    <w:rsid w:val="000F1641"/>
    <w:rsid w:val="00106FDE"/>
    <w:rsid w:val="001147C1"/>
    <w:rsid w:val="00122C18"/>
    <w:rsid w:val="00131A1B"/>
    <w:rsid w:val="00132884"/>
    <w:rsid w:val="001377D4"/>
    <w:rsid w:val="0014216B"/>
    <w:rsid w:val="00147909"/>
    <w:rsid w:val="00150EEF"/>
    <w:rsid w:val="00154F49"/>
    <w:rsid w:val="00163836"/>
    <w:rsid w:val="00167D67"/>
    <w:rsid w:val="001758DE"/>
    <w:rsid w:val="00182003"/>
    <w:rsid w:val="00186643"/>
    <w:rsid w:val="001A55A9"/>
    <w:rsid w:val="001B6168"/>
    <w:rsid w:val="001D090F"/>
    <w:rsid w:val="001D1CD9"/>
    <w:rsid w:val="001D51E9"/>
    <w:rsid w:val="001F40F3"/>
    <w:rsid w:val="0020174B"/>
    <w:rsid w:val="0020241D"/>
    <w:rsid w:val="00211094"/>
    <w:rsid w:val="0021351E"/>
    <w:rsid w:val="002439C9"/>
    <w:rsid w:val="00253713"/>
    <w:rsid w:val="00256256"/>
    <w:rsid w:val="0027373A"/>
    <w:rsid w:val="002830B3"/>
    <w:rsid w:val="00284403"/>
    <w:rsid w:val="00286395"/>
    <w:rsid w:val="002A2C9F"/>
    <w:rsid w:val="002B31CF"/>
    <w:rsid w:val="002B4B55"/>
    <w:rsid w:val="002B6BFA"/>
    <w:rsid w:val="002C00BE"/>
    <w:rsid w:val="002C7462"/>
    <w:rsid w:val="002D755D"/>
    <w:rsid w:val="002E6180"/>
    <w:rsid w:val="002F7DEF"/>
    <w:rsid w:val="00302BC5"/>
    <w:rsid w:val="00312827"/>
    <w:rsid w:val="0031585C"/>
    <w:rsid w:val="00315FA2"/>
    <w:rsid w:val="00352229"/>
    <w:rsid w:val="00352E8D"/>
    <w:rsid w:val="00354C36"/>
    <w:rsid w:val="00356E85"/>
    <w:rsid w:val="00361978"/>
    <w:rsid w:val="00364629"/>
    <w:rsid w:val="00364C68"/>
    <w:rsid w:val="003959A0"/>
    <w:rsid w:val="003A0026"/>
    <w:rsid w:val="003A1801"/>
    <w:rsid w:val="003B7948"/>
    <w:rsid w:val="003C7F15"/>
    <w:rsid w:val="003D6821"/>
    <w:rsid w:val="003E42AB"/>
    <w:rsid w:val="003E5F3A"/>
    <w:rsid w:val="003F2F65"/>
    <w:rsid w:val="003F3719"/>
    <w:rsid w:val="003F5158"/>
    <w:rsid w:val="003F62B7"/>
    <w:rsid w:val="00403444"/>
    <w:rsid w:val="00410176"/>
    <w:rsid w:val="00415754"/>
    <w:rsid w:val="00416180"/>
    <w:rsid w:val="00420274"/>
    <w:rsid w:val="00422016"/>
    <w:rsid w:val="00425A9A"/>
    <w:rsid w:val="00430195"/>
    <w:rsid w:val="00436393"/>
    <w:rsid w:val="00440095"/>
    <w:rsid w:val="0044069F"/>
    <w:rsid w:val="0044112E"/>
    <w:rsid w:val="00454CAF"/>
    <w:rsid w:val="00456686"/>
    <w:rsid w:val="004578EE"/>
    <w:rsid w:val="004604B1"/>
    <w:rsid w:val="00466700"/>
    <w:rsid w:val="004853C2"/>
    <w:rsid w:val="00492DCE"/>
    <w:rsid w:val="0049530B"/>
    <w:rsid w:val="004A3C8E"/>
    <w:rsid w:val="004C09D6"/>
    <w:rsid w:val="004C1298"/>
    <w:rsid w:val="004C5ED0"/>
    <w:rsid w:val="00502A2F"/>
    <w:rsid w:val="005040FF"/>
    <w:rsid w:val="0050433C"/>
    <w:rsid w:val="0050489F"/>
    <w:rsid w:val="00504E8E"/>
    <w:rsid w:val="00522766"/>
    <w:rsid w:val="00527508"/>
    <w:rsid w:val="00530A67"/>
    <w:rsid w:val="0053493C"/>
    <w:rsid w:val="005412E4"/>
    <w:rsid w:val="005511A8"/>
    <w:rsid w:val="0055467F"/>
    <w:rsid w:val="00561A56"/>
    <w:rsid w:val="00565081"/>
    <w:rsid w:val="0057635E"/>
    <w:rsid w:val="00581CE2"/>
    <w:rsid w:val="00595B65"/>
    <w:rsid w:val="005A555C"/>
    <w:rsid w:val="005C4B3D"/>
    <w:rsid w:val="005E5214"/>
    <w:rsid w:val="005E5984"/>
    <w:rsid w:val="005F2027"/>
    <w:rsid w:val="005F3678"/>
    <w:rsid w:val="005F75ED"/>
    <w:rsid w:val="0060394A"/>
    <w:rsid w:val="0061067D"/>
    <w:rsid w:val="006124DB"/>
    <w:rsid w:val="00614C45"/>
    <w:rsid w:val="00625523"/>
    <w:rsid w:val="00626FE6"/>
    <w:rsid w:val="006416F4"/>
    <w:rsid w:val="006431F1"/>
    <w:rsid w:val="0064371F"/>
    <w:rsid w:val="00653666"/>
    <w:rsid w:val="00656206"/>
    <w:rsid w:val="00660724"/>
    <w:rsid w:val="006624AB"/>
    <w:rsid w:val="00671116"/>
    <w:rsid w:val="00672D33"/>
    <w:rsid w:val="006730B0"/>
    <w:rsid w:val="00674A8C"/>
    <w:rsid w:val="006A5C5E"/>
    <w:rsid w:val="006B25B5"/>
    <w:rsid w:val="006E1EF5"/>
    <w:rsid w:val="006F527A"/>
    <w:rsid w:val="0070200D"/>
    <w:rsid w:val="00711DC4"/>
    <w:rsid w:val="0075015A"/>
    <w:rsid w:val="007572B6"/>
    <w:rsid w:val="0076428E"/>
    <w:rsid w:val="0079639B"/>
    <w:rsid w:val="007A1B1F"/>
    <w:rsid w:val="007D1376"/>
    <w:rsid w:val="007E1727"/>
    <w:rsid w:val="007F79BB"/>
    <w:rsid w:val="008026AA"/>
    <w:rsid w:val="0081017D"/>
    <w:rsid w:val="00824636"/>
    <w:rsid w:val="008255DE"/>
    <w:rsid w:val="00841A9E"/>
    <w:rsid w:val="00841F4A"/>
    <w:rsid w:val="00844EE7"/>
    <w:rsid w:val="00854C46"/>
    <w:rsid w:val="00873554"/>
    <w:rsid w:val="00880C08"/>
    <w:rsid w:val="00883AAD"/>
    <w:rsid w:val="00896609"/>
    <w:rsid w:val="008A084D"/>
    <w:rsid w:val="008B7F59"/>
    <w:rsid w:val="008C7966"/>
    <w:rsid w:val="008D23AA"/>
    <w:rsid w:val="008D2859"/>
    <w:rsid w:val="008D3F0D"/>
    <w:rsid w:val="008D5C02"/>
    <w:rsid w:val="008E469D"/>
    <w:rsid w:val="008F74C4"/>
    <w:rsid w:val="009007D4"/>
    <w:rsid w:val="0091254D"/>
    <w:rsid w:val="009247A1"/>
    <w:rsid w:val="0094570E"/>
    <w:rsid w:val="00954A41"/>
    <w:rsid w:val="00960B22"/>
    <w:rsid w:val="00962E65"/>
    <w:rsid w:val="009632A1"/>
    <w:rsid w:val="00964FF8"/>
    <w:rsid w:val="009749F9"/>
    <w:rsid w:val="009758CD"/>
    <w:rsid w:val="00977C3F"/>
    <w:rsid w:val="00990C99"/>
    <w:rsid w:val="00991A50"/>
    <w:rsid w:val="009A3DEA"/>
    <w:rsid w:val="009B48D2"/>
    <w:rsid w:val="009B6C8F"/>
    <w:rsid w:val="009C36FD"/>
    <w:rsid w:val="009C743D"/>
    <w:rsid w:val="009D375B"/>
    <w:rsid w:val="009D378A"/>
    <w:rsid w:val="009E228A"/>
    <w:rsid w:val="00A00D2C"/>
    <w:rsid w:val="00A037C7"/>
    <w:rsid w:val="00A13576"/>
    <w:rsid w:val="00A142C3"/>
    <w:rsid w:val="00A1437D"/>
    <w:rsid w:val="00A225DF"/>
    <w:rsid w:val="00A27F42"/>
    <w:rsid w:val="00A37498"/>
    <w:rsid w:val="00A426A5"/>
    <w:rsid w:val="00A42F13"/>
    <w:rsid w:val="00A4532E"/>
    <w:rsid w:val="00A47689"/>
    <w:rsid w:val="00A61DDF"/>
    <w:rsid w:val="00A6361F"/>
    <w:rsid w:val="00A725AF"/>
    <w:rsid w:val="00A75CFC"/>
    <w:rsid w:val="00A93CC1"/>
    <w:rsid w:val="00A95E3A"/>
    <w:rsid w:val="00AA3F20"/>
    <w:rsid w:val="00AB3DAE"/>
    <w:rsid w:val="00AC1008"/>
    <w:rsid w:val="00AD4FAC"/>
    <w:rsid w:val="00AD5C67"/>
    <w:rsid w:val="00AE1D46"/>
    <w:rsid w:val="00AE3507"/>
    <w:rsid w:val="00B02092"/>
    <w:rsid w:val="00B02A05"/>
    <w:rsid w:val="00B02DD7"/>
    <w:rsid w:val="00B042E8"/>
    <w:rsid w:val="00B068A8"/>
    <w:rsid w:val="00B10C07"/>
    <w:rsid w:val="00B224B6"/>
    <w:rsid w:val="00B22E3F"/>
    <w:rsid w:val="00B32F73"/>
    <w:rsid w:val="00B342B1"/>
    <w:rsid w:val="00B37F5A"/>
    <w:rsid w:val="00B4235C"/>
    <w:rsid w:val="00B46191"/>
    <w:rsid w:val="00B46D48"/>
    <w:rsid w:val="00B6023E"/>
    <w:rsid w:val="00B6034C"/>
    <w:rsid w:val="00B62A78"/>
    <w:rsid w:val="00B742AF"/>
    <w:rsid w:val="00B80515"/>
    <w:rsid w:val="00B8112C"/>
    <w:rsid w:val="00B87775"/>
    <w:rsid w:val="00B924F7"/>
    <w:rsid w:val="00B93D96"/>
    <w:rsid w:val="00BA21C5"/>
    <w:rsid w:val="00BD1C8D"/>
    <w:rsid w:val="00BD3733"/>
    <w:rsid w:val="00BD6FF4"/>
    <w:rsid w:val="00BE410C"/>
    <w:rsid w:val="00BF0F1B"/>
    <w:rsid w:val="00BF7C6E"/>
    <w:rsid w:val="00C004E5"/>
    <w:rsid w:val="00C16DDC"/>
    <w:rsid w:val="00C21C1C"/>
    <w:rsid w:val="00C22265"/>
    <w:rsid w:val="00C270FF"/>
    <w:rsid w:val="00C277CE"/>
    <w:rsid w:val="00C31727"/>
    <w:rsid w:val="00C42A69"/>
    <w:rsid w:val="00C51C2A"/>
    <w:rsid w:val="00C5533D"/>
    <w:rsid w:val="00C74F8E"/>
    <w:rsid w:val="00C769CD"/>
    <w:rsid w:val="00C863E2"/>
    <w:rsid w:val="00C9472F"/>
    <w:rsid w:val="00CA791D"/>
    <w:rsid w:val="00CC057E"/>
    <w:rsid w:val="00CC3628"/>
    <w:rsid w:val="00CD2528"/>
    <w:rsid w:val="00CE2E66"/>
    <w:rsid w:val="00CF070A"/>
    <w:rsid w:val="00CF088C"/>
    <w:rsid w:val="00D0108C"/>
    <w:rsid w:val="00D13AC0"/>
    <w:rsid w:val="00D172FE"/>
    <w:rsid w:val="00D200BF"/>
    <w:rsid w:val="00D47CA9"/>
    <w:rsid w:val="00D57D30"/>
    <w:rsid w:val="00D6768F"/>
    <w:rsid w:val="00D7332A"/>
    <w:rsid w:val="00D844B2"/>
    <w:rsid w:val="00D87258"/>
    <w:rsid w:val="00D96DDF"/>
    <w:rsid w:val="00DA0017"/>
    <w:rsid w:val="00DA07CA"/>
    <w:rsid w:val="00DB099B"/>
    <w:rsid w:val="00DB7248"/>
    <w:rsid w:val="00DC2DD1"/>
    <w:rsid w:val="00DD0C4D"/>
    <w:rsid w:val="00DD5184"/>
    <w:rsid w:val="00DE1A4A"/>
    <w:rsid w:val="00DE3706"/>
    <w:rsid w:val="00DE5909"/>
    <w:rsid w:val="00DE7652"/>
    <w:rsid w:val="00DF5ED9"/>
    <w:rsid w:val="00E026E0"/>
    <w:rsid w:val="00E046B3"/>
    <w:rsid w:val="00E062B8"/>
    <w:rsid w:val="00E347E9"/>
    <w:rsid w:val="00E40301"/>
    <w:rsid w:val="00E4493B"/>
    <w:rsid w:val="00E45724"/>
    <w:rsid w:val="00E45886"/>
    <w:rsid w:val="00E547D4"/>
    <w:rsid w:val="00E63F35"/>
    <w:rsid w:val="00E642BD"/>
    <w:rsid w:val="00E64AD3"/>
    <w:rsid w:val="00E65B61"/>
    <w:rsid w:val="00E75D3A"/>
    <w:rsid w:val="00E80CFF"/>
    <w:rsid w:val="00E93EB2"/>
    <w:rsid w:val="00E940DC"/>
    <w:rsid w:val="00E94A62"/>
    <w:rsid w:val="00EB211C"/>
    <w:rsid w:val="00EB65C0"/>
    <w:rsid w:val="00EC03B6"/>
    <w:rsid w:val="00EC493C"/>
    <w:rsid w:val="00ED47C2"/>
    <w:rsid w:val="00ED6EF3"/>
    <w:rsid w:val="00ED7EAB"/>
    <w:rsid w:val="00EE51C9"/>
    <w:rsid w:val="00EF1655"/>
    <w:rsid w:val="00EF1CB2"/>
    <w:rsid w:val="00EF57CD"/>
    <w:rsid w:val="00F10A09"/>
    <w:rsid w:val="00F20699"/>
    <w:rsid w:val="00F257CE"/>
    <w:rsid w:val="00F31B75"/>
    <w:rsid w:val="00F35BE5"/>
    <w:rsid w:val="00F378C4"/>
    <w:rsid w:val="00F4191B"/>
    <w:rsid w:val="00F43BA1"/>
    <w:rsid w:val="00F468D1"/>
    <w:rsid w:val="00F56126"/>
    <w:rsid w:val="00F62922"/>
    <w:rsid w:val="00F64DDA"/>
    <w:rsid w:val="00F70E91"/>
    <w:rsid w:val="00F7461E"/>
    <w:rsid w:val="00F84528"/>
    <w:rsid w:val="00F8489A"/>
    <w:rsid w:val="00F84D66"/>
    <w:rsid w:val="00F93AF8"/>
    <w:rsid w:val="00F96724"/>
    <w:rsid w:val="00F96D0F"/>
    <w:rsid w:val="00F96D5C"/>
    <w:rsid w:val="00FA5606"/>
    <w:rsid w:val="00FA5A4C"/>
    <w:rsid w:val="00FA692D"/>
    <w:rsid w:val="00FA7A69"/>
    <w:rsid w:val="00FD1EEE"/>
    <w:rsid w:val="00FE13EC"/>
    <w:rsid w:val="00FE40F6"/>
    <w:rsid w:val="00FF19B7"/>
    <w:rsid w:val="00FF3D00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B7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D0F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7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4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3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043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6AD9"/>
    <w:rPr>
      <w:b/>
      <w:bCs/>
    </w:rPr>
  </w:style>
  <w:style w:type="paragraph" w:customStyle="1" w:styleId="TitlePage">
    <w:name w:val="TitlePage"/>
    <w:basedOn w:val="Normal"/>
    <w:rsid w:val="00561A56"/>
    <w:pPr>
      <w:tabs>
        <w:tab w:val="left" w:pos="576"/>
      </w:tabs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rFonts w:ascii="Courier New" w:hAnsi="Courier New"/>
      <w:szCs w:val="20"/>
    </w:rPr>
  </w:style>
  <w:style w:type="paragraph" w:customStyle="1" w:styleId="References">
    <w:name w:val="References"/>
    <w:basedOn w:val="Normal"/>
    <w:rsid w:val="00561A56"/>
    <w:pPr>
      <w:keepLines/>
      <w:widowControl w:val="0"/>
      <w:tabs>
        <w:tab w:val="left" w:pos="576"/>
      </w:tabs>
      <w:overflowPunct w:val="0"/>
      <w:autoSpaceDE w:val="0"/>
      <w:autoSpaceDN w:val="0"/>
      <w:adjustRightInd w:val="0"/>
      <w:spacing w:line="480" w:lineRule="atLeast"/>
      <w:ind w:left="720" w:hanging="72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561A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A56"/>
  </w:style>
  <w:style w:type="paragraph" w:styleId="NormalWeb">
    <w:name w:val="Normal (Web)"/>
    <w:basedOn w:val="Normal"/>
    <w:uiPriority w:val="99"/>
    <w:unhideWhenUsed/>
    <w:rsid w:val="0070200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106FD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2F13"/>
    <w:rPr>
      <w:i/>
      <w:iCs/>
    </w:rPr>
  </w:style>
  <w:style w:type="character" w:customStyle="1" w:styleId="medium-normal">
    <w:name w:val="medium-normal"/>
    <w:basedOn w:val="DefaultParagraphFont"/>
    <w:rsid w:val="00A42F13"/>
  </w:style>
  <w:style w:type="character" w:styleId="PlaceholderText">
    <w:name w:val="Placeholder Text"/>
    <w:basedOn w:val="DefaultParagraphFont"/>
    <w:uiPriority w:val="99"/>
    <w:semiHidden/>
    <w:rsid w:val="0053493C"/>
    <w:rPr>
      <w:color w:val="808080"/>
    </w:rPr>
  </w:style>
  <w:style w:type="character" w:customStyle="1" w:styleId="Style1">
    <w:name w:val="Style1"/>
    <w:basedOn w:val="DefaultParagraphFont"/>
    <w:uiPriority w:val="1"/>
    <w:rsid w:val="00F96D5C"/>
  </w:style>
  <w:style w:type="character" w:styleId="FollowedHyperlink">
    <w:name w:val="FollowedHyperlink"/>
    <w:basedOn w:val="DefaultParagraphFont"/>
    <w:rsid w:val="0025625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026AA"/>
    <w:pPr>
      <w:ind w:left="720"/>
      <w:contextualSpacing/>
    </w:pPr>
  </w:style>
  <w:style w:type="paragraph" w:customStyle="1" w:styleId="text">
    <w:name w:val="text"/>
    <w:basedOn w:val="Normal"/>
    <w:rsid w:val="008D5C02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Blockquote">
    <w:name w:val="Blockquote"/>
    <w:basedOn w:val="Normal"/>
    <w:rsid w:val="00DD0C4D"/>
    <w:pPr>
      <w:spacing w:before="100" w:after="100"/>
      <w:ind w:left="360" w:right="36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DD0C4D"/>
    <w:pPr>
      <w:spacing w:after="120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DD0C4D"/>
    <w:rPr>
      <w:rFonts w:ascii="Book Antiqua" w:hAnsi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37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itation">
    <w:name w:val="citation"/>
    <w:basedOn w:val="Normal"/>
    <w:rsid w:val="001377D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40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9C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743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0108C"/>
    <w:rPr>
      <w:i/>
      <w:iCs/>
      <w:color w:val="404040" w:themeColor="text1" w:themeTint="B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D7E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28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quaeng.2025.1025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electronics1412231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5643/fcaptp.3.62.2025.481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30953/bhty.v7.3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su161776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2685</Words>
  <Characters>15305</Characters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2024-10-20T17:17:00Z</dcterms:created>
  <dcterms:modified xsi:type="dcterms:W3CDTF">2025-08-23T18:18:00Z</dcterms:modified>
</cp:coreProperties>
</file>