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7E1727" w:rsidRDefault="00F468D1" w:rsidP="00C42A69">
      <w:pPr>
        <w:spacing w:line="480" w:lineRule="auto"/>
        <w:ind w:firstLine="720"/>
        <w:jc w:val="center"/>
        <w:rPr>
          <w:b/>
          <w:bCs/>
        </w:rPr>
      </w:pPr>
    </w:p>
    <w:p w14:paraId="09AA434B" w14:textId="77777777" w:rsidR="00F468D1" w:rsidRPr="007E1727" w:rsidRDefault="00F468D1" w:rsidP="00C42A69">
      <w:pPr>
        <w:spacing w:line="480" w:lineRule="auto"/>
        <w:ind w:firstLine="720"/>
        <w:jc w:val="center"/>
        <w:rPr>
          <w:b/>
          <w:bCs/>
        </w:rPr>
      </w:pPr>
    </w:p>
    <w:p w14:paraId="466FA396" w14:textId="77777777" w:rsidR="00F468D1" w:rsidRPr="007E1727" w:rsidRDefault="00F468D1" w:rsidP="00C42A69">
      <w:pPr>
        <w:spacing w:line="480" w:lineRule="auto"/>
        <w:ind w:firstLine="720"/>
        <w:jc w:val="center"/>
        <w:rPr>
          <w:b/>
          <w:bCs/>
        </w:rPr>
      </w:pPr>
    </w:p>
    <w:p w14:paraId="0D8CF4B9" w14:textId="77777777" w:rsidR="00F468D1" w:rsidRPr="007E1727" w:rsidRDefault="00F468D1" w:rsidP="00C42A69">
      <w:pPr>
        <w:spacing w:line="480" w:lineRule="auto"/>
        <w:ind w:firstLine="720"/>
        <w:jc w:val="center"/>
        <w:rPr>
          <w:b/>
          <w:bCs/>
        </w:rPr>
      </w:pPr>
    </w:p>
    <w:p w14:paraId="253C824D" w14:textId="2FF6405B" w:rsidR="00286395" w:rsidRPr="007E1727" w:rsidRDefault="0079639B" w:rsidP="00C42A69">
      <w:pPr>
        <w:spacing w:line="480" w:lineRule="auto"/>
        <w:jc w:val="center"/>
        <w:rPr>
          <w:b/>
          <w:bCs/>
        </w:rPr>
      </w:pPr>
      <w:r>
        <w:rPr>
          <w:b/>
          <w:bCs/>
        </w:rPr>
        <w:t>ACC501</w:t>
      </w:r>
      <w:r w:rsidR="004C5ED0">
        <w:rPr>
          <w:b/>
          <w:bCs/>
        </w:rPr>
        <w:t xml:space="preserve"> </w:t>
      </w:r>
      <w:r w:rsidR="00C40037">
        <w:rPr>
          <w:b/>
          <w:bCs/>
        </w:rPr>
        <w:t>Case 4</w:t>
      </w:r>
    </w:p>
    <w:p w14:paraId="215330E4" w14:textId="77777777" w:rsidR="00286395" w:rsidRPr="007E1727" w:rsidRDefault="00286395" w:rsidP="00C42A69">
      <w:pPr>
        <w:spacing w:line="480" w:lineRule="auto"/>
        <w:ind w:firstLine="720"/>
        <w:jc w:val="center"/>
      </w:pPr>
    </w:p>
    <w:p w14:paraId="0C9670E1" w14:textId="77777777" w:rsidR="00454CAF" w:rsidRPr="007E1727" w:rsidRDefault="00454CAF" w:rsidP="00C42A69">
      <w:pPr>
        <w:spacing w:line="480" w:lineRule="auto"/>
        <w:jc w:val="center"/>
      </w:pPr>
      <w:r w:rsidRPr="007E1727">
        <w:t>Your Name</w:t>
      </w:r>
    </w:p>
    <w:p w14:paraId="02750D95" w14:textId="77777777" w:rsidR="00454CAF" w:rsidRPr="007E1727" w:rsidRDefault="00454CAF" w:rsidP="00C42A69">
      <w:pPr>
        <w:spacing w:line="480" w:lineRule="auto"/>
        <w:jc w:val="center"/>
      </w:pPr>
      <w:r w:rsidRPr="007E1727">
        <w:t xml:space="preserve">Trident University International </w:t>
      </w:r>
    </w:p>
    <w:p w14:paraId="27BBC8F8" w14:textId="6A19A1E4" w:rsidR="0079639B" w:rsidRDefault="0079639B" w:rsidP="00C42A69">
      <w:pPr>
        <w:spacing w:line="480" w:lineRule="auto"/>
        <w:jc w:val="center"/>
      </w:pPr>
      <w:r w:rsidRPr="0079639B">
        <w:t xml:space="preserve">ACC501 Accounting for Decision Making </w:t>
      </w:r>
    </w:p>
    <w:p w14:paraId="54C389E1" w14:textId="7498DF4F" w:rsidR="00844EE7" w:rsidRPr="007E1727" w:rsidRDefault="00454CAF" w:rsidP="00C42A69">
      <w:pPr>
        <w:spacing w:line="480" w:lineRule="auto"/>
        <w:jc w:val="center"/>
      </w:pPr>
      <w:r w:rsidRPr="007E1727">
        <w:t>Due Date</w:t>
      </w:r>
    </w:p>
    <w:p w14:paraId="6C8D5EF8" w14:textId="56D46919" w:rsidR="003C7F15" w:rsidRPr="007E1727" w:rsidRDefault="00352E8D" w:rsidP="00C42A69">
      <w:pPr>
        <w:spacing w:line="480" w:lineRule="auto"/>
        <w:rPr>
          <w:b/>
          <w:bCs/>
        </w:rPr>
      </w:pPr>
      <w:r w:rsidRPr="007E1727">
        <w:br w:type="page"/>
      </w:r>
    </w:p>
    <w:p w14:paraId="1DF862F2" w14:textId="1475FBC5" w:rsidR="00D200BF" w:rsidRDefault="0079639B" w:rsidP="00C42A69">
      <w:pPr>
        <w:spacing w:line="480" w:lineRule="auto"/>
        <w:jc w:val="center"/>
        <w:rPr>
          <w:b/>
          <w:bCs/>
        </w:rPr>
      </w:pPr>
      <w:r>
        <w:rPr>
          <w:b/>
          <w:bCs/>
        </w:rPr>
        <w:lastRenderedPageBreak/>
        <w:t>ACC501</w:t>
      </w:r>
      <w:r w:rsidR="003C7F15" w:rsidRPr="007E1727">
        <w:rPr>
          <w:b/>
          <w:bCs/>
        </w:rPr>
        <w:t xml:space="preserve"> </w:t>
      </w:r>
      <w:r w:rsidR="00C40037">
        <w:rPr>
          <w:b/>
          <w:bCs/>
        </w:rPr>
        <w:t>Case 4</w:t>
      </w:r>
    </w:p>
    <w:p w14:paraId="5D78881A" w14:textId="61CAE733" w:rsidR="00BC1686" w:rsidRPr="00BC1686" w:rsidRDefault="00BC1686" w:rsidP="00BC1686">
      <w:pPr>
        <w:spacing w:line="480" w:lineRule="auto"/>
      </w:pPr>
      <w:r w:rsidRPr="00BC1686">
        <w:tab/>
      </w:r>
      <w:r>
        <w:t xml:space="preserve">It is evident from recent research that the </w:t>
      </w:r>
      <w:r w:rsidRPr="00BC1686">
        <w:t>rapid integration of artificial intelligence (AI), big data analytics, and advanced cybersecurity measures is reshaping the accounting and finance landscape</w:t>
      </w:r>
      <w:r w:rsidR="00FD76EF">
        <w:t xml:space="preserve"> </w:t>
      </w:r>
      <w:r w:rsidR="00FD76EF" w:rsidRPr="00FD76EF">
        <w:t>(Alahmadi, 2024)</w:t>
      </w:r>
      <w:r w:rsidRPr="00BC1686">
        <w:t xml:space="preserve">. </w:t>
      </w:r>
      <w:r>
        <w:t>Based on t</w:t>
      </w:r>
      <w:r w:rsidRPr="00BC1686">
        <w:t xml:space="preserve">hese innovations, enhancing efficiency, improving the accuracy of financial decision-making, and expanding the strategic role of professionals across industries. </w:t>
      </w:r>
      <w:r>
        <w:t xml:space="preserve">However, it also tends to </w:t>
      </w:r>
      <w:r w:rsidRPr="00BC1686">
        <w:t>introduce new challenges that require ethical oversight, robust data governance, and proactive risk management to safeguard business integrity in a digital economy.</w:t>
      </w:r>
    </w:p>
    <w:p w14:paraId="463960EF" w14:textId="740A33A5" w:rsidR="00BC1686" w:rsidRPr="007E1727" w:rsidRDefault="00BC1686" w:rsidP="00BC1686">
      <w:pPr>
        <w:spacing w:line="480" w:lineRule="auto"/>
        <w:rPr>
          <w:b/>
          <w:bCs/>
        </w:rPr>
      </w:pPr>
    </w:p>
    <w:p w14:paraId="3A89CC68" w14:textId="77777777" w:rsidR="00F5335C" w:rsidRDefault="00F5335C" w:rsidP="00F5335C">
      <w:pPr>
        <w:spacing w:line="480" w:lineRule="auto"/>
        <w:jc w:val="center"/>
        <w:rPr>
          <w:b/>
          <w:bCs/>
        </w:rPr>
      </w:pPr>
      <w:bookmarkStart w:id="0" w:name="_Hlk180240497"/>
      <w:bookmarkStart w:id="1" w:name="_Hlk158375419"/>
      <w:r w:rsidRPr="00835D81">
        <w:rPr>
          <w:b/>
          <w:bCs/>
        </w:rPr>
        <w:t>Automation and AI in Accounting</w:t>
      </w:r>
    </w:p>
    <w:p w14:paraId="18EE781B" w14:textId="05002A8D" w:rsidR="00B9537D" w:rsidRDefault="00BC1686" w:rsidP="00B9537D">
      <w:pPr>
        <w:spacing w:line="480" w:lineRule="auto"/>
      </w:pPr>
      <w:r w:rsidRPr="00B9537D">
        <w:tab/>
      </w:r>
      <w:r w:rsidR="005F38A7">
        <w:t xml:space="preserve">It tends to be analysed from the </w:t>
      </w:r>
      <w:r w:rsidR="00B9537D" w:rsidRPr="00B9537D">
        <w:t xml:space="preserve">past year, artificial intelligence (AI) has shifted from isolated pilot projects to core platforms in accounting firms worldwide. </w:t>
      </w:r>
      <w:r w:rsidR="005F38A7">
        <w:t>According to the m</w:t>
      </w:r>
      <w:r w:rsidR="00B9537D" w:rsidRPr="00B9537D">
        <w:t xml:space="preserve">ajor firms </w:t>
      </w:r>
      <w:r w:rsidR="005F38A7">
        <w:t xml:space="preserve">which </w:t>
      </w:r>
      <w:r w:rsidR="00B9537D" w:rsidRPr="00B9537D">
        <w:t>have committed significant investments to embed AI across audit, tax, and advisory services</w:t>
      </w:r>
      <w:r w:rsidR="00FD76EF">
        <w:t xml:space="preserve"> </w:t>
      </w:r>
      <w:r w:rsidR="00FD76EF" w:rsidRPr="00FD76EF">
        <w:t>(Alahmadi, 2024)</w:t>
      </w:r>
      <w:r w:rsidR="00B9537D" w:rsidRPr="00B9537D">
        <w:t xml:space="preserve">. </w:t>
      </w:r>
      <w:r w:rsidR="005F38A7">
        <w:t xml:space="preserve"> However, one of the major examples tends to be consist of </w:t>
      </w:r>
      <w:r w:rsidR="00B9537D" w:rsidRPr="00B9537D">
        <w:t xml:space="preserve">RSM announced a three-year, US $1 billion program to integrate “agentic AI” into operations, aiming to streamline compliance tasks and enhance client service delivery. </w:t>
      </w:r>
      <w:r w:rsidR="005F38A7">
        <w:t xml:space="preserve">So, it tends to show the </w:t>
      </w:r>
      <w:r w:rsidR="00B9537D" w:rsidRPr="00B9537D">
        <w:t>rapid pace of adoption reflects a broader industry trend toward leveraging AI not only for automation but also for strategic decision-making</w:t>
      </w:r>
      <w:r w:rsidR="00464473">
        <w:t xml:space="preserve"> </w:t>
      </w:r>
      <w:r w:rsidR="00464473" w:rsidRPr="00464473">
        <w:t>(Alahmadi, 2024)</w:t>
      </w:r>
      <w:r w:rsidR="00B9537D" w:rsidRPr="00B9537D">
        <w:t>.</w:t>
      </w:r>
    </w:p>
    <w:p w14:paraId="202DB7E3" w14:textId="7AAF123F" w:rsidR="00B9537D" w:rsidRPr="00B9537D" w:rsidRDefault="00B9537D" w:rsidP="00B9537D">
      <w:pPr>
        <w:spacing w:line="480" w:lineRule="auto"/>
      </w:pPr>
      <w:r>
        <w:tab/>
      </w:r>
      <w:r w:rsidR="005F38A7">
        <w:t>As per the literature, AI</w:t>
      </w:r>
      <w:r w:rsidRPr="00B9537D">
        <w:t xml:space="preserve"> delivers substantial efficiency gains by automating high-volume, repetitive tasks that previously consumed significant professional hours. I</w:t>
      </w:r>
      <w:r w:rsidR="005F38A7">
        <w:t>n accordance with the i</w:t>
      </w:r>
      <w:r w:rsidRPr="00B9537D">
        <w:t xml:space="preserve">ntelligent process automation now handles functions such as reconciliations, transaction testing, and report generation, enabling accountants to cover entire data populations instead of samples. </w:t>
      </w:r>
      <w:r w:rsidR="005F38A7">
        <w:t xml:space="preserve">As per the </w:t>
      </w:r>
      <w:r w:rsidRPr="00B9537D">
        <w:t xml:space="preserve">RSM’s agentic AI framework, for example, has shown productivity improvements of </w:t>
      </w:r>
      <w:r w:rsidRPr="00B9537D">
        <w:lastRenderedPageBreak/>
        <w:t xml:space="preserve">up to 80% in certain tax and audit workflows. </w:t>
      </w:r>
      <w:r w:rsidR="005F38A7">
        <w:t>Based on t</w:t>
      </w:r>
      <w:r w:rsidRPr="00B9537D">
        <w:t xml:space="preserve">hese advancements </w:t>
      </w:r>
      <w:r w:rsidR="005F38A7">
        <w:t xml:space="preserve">which ultimately </w:t>
      </w:r>
      <w:r w:rsidRPr="00B9537D">
        <w:t>reduce turnaround times and allow professionals to redirect efforts toward value-added activities</w:t>
      </w:r>
      <w:r w:rsidR="00FD76EF">
        <w:t xml:space="preserve"> </w:t>
      </w:r>
      <w:r w:rsidR="00FD76EF" w:rsidRPr="00FD76EF">
        <w:t>(Peng &amp; Liu, 2024)</w:t>
      </w:r>
      <w:r w:rsidRPr="00B9537D">
        <w:t>.</w:t>
      </w:r>
    </w:p>
    <w:p w14:paraId="37E4A52B" w14:textId="4E9983A6" w:rsidR="00B9537D" w:rsidRPr="00B9537D" w:rsidRDefault="00B9537D" w:rsidP="00B9537D">
      <w:pPr>
        <w:spacing w:line="480" w:lineRule="auto"/>
      </w:pPr>
      <w:r>
        <w:tab/>
      </w:r>
      <w:r w:rsidR="005F38A7">
        <w:t xml:space="preserve">It is important to understand that the </w:t>
      </w:r>
      <w:r w:rsidRPr="00B9537D">
        <w:t>automation of routine duties is reshaping career trajectories in accounting</w:t>
      </w:r>
      <w:r w:rsidR="005F38A7">
        <w:t xml:space="preserve"> such as f</w:t>
      </w:r>
      <w:r w:rsidRPr="00B9537D">
        <w:t>irms like PwC are training new hires to oversee AI outputs and apply professional judgment rather than focus solely on data entry or manual reconciliations</w:t>
      </w:r>
      <w:r w:rsidR="00FD76EF">
        <w:t xml:space="preserve"> </w:t>
      </w:r>
      <w:r w:rsidR="00FD76EF" w:rsidRPr="00FD76EF">
        <w:t>(Alahmadi, 2024)</w:t>
      </w:r>
      <w:r w:rsidRPr="00B9537D">
        <w:t xml:space="preserve">. </w:t>
      </w:r>
      <w:r w:rsidR="005F38A7">
        <w:t>On the basis of t</w:t>
      </w:r>
      <w:r w:rsidRPr="00B9537D">
        <w:t xml:space="preserve">his </w:t>
      </w:r>
      <w:r w:rsidR="005F38A7" w:rsidRPr="00B9537D">
        <w:t>shift</w:t>
      </w:r>
      <w:r w:rsidR="005F38A7">
        <w:t xml:space="preserve"> tends to </w:t>
      </w:r>
      <w:r w:rsidR="005F38A7" w:rsidRPr="00B9537D">
        <w:t>accelerate</w:t>
      </w:r>
      <w:r w:rsidRPr="00B9537D">
        <w:t xml:space="preserve"> the transition from entry-level roles to supervisory positions, with an emphasis on critical thinking, risk assessment, and exception handling</w:t>
      </w:r>
      <w:r w:rsidR="00FD76EF">
        <w:t xml:space="preserve"> </w:t>
      </w:r>
      <w:r w:rsidR="00FD76EF" w:rsidRPr="00FD76EF">
        <w:t>(Peng &amp; Liu, 2024)</w:t>
      </w:r>
      <w:r w:rsidRPr="00B9537D">
        <w:t xml:space="preserve">. </w:t>
      </w:r>
      <w:r w:rsidR="005F38A7">
        <w:t xml:space="preserve">Despite various factors </w:t>
      </w:r>
      <w:r w:rsidRPr="00B9537D">
        <w:t>junior professionals are expected to develop advisory capabilities much earlier in their careers.</w:t>
      </w:r>
    </w:p>
    <w:p w14:paraId="58C4E13F" w14:textId="258CA5E6" w:rsidR="00B9537D" w:rsidRPr="00B9537D" w:rsidRDefault="00B9537D" w:rsidP="00B9537D">
      <w:pPr>
        <w:spacing w:line="480" w:lineRule="auto"/>
      </w:pPr>
      <w:r>
        <w:tab/>
      </w:r>
      <w:r w:rsidR="005F38A7">
        <w:t>As per efficiency</w:t>
      </w:r>
      <w:r w:rsidRPr="00B9537D">
        <w:t>, AI opens pathways to new service offerings</w:t>
      </w:r>
      <w:r w:rsidR="005F38A7">
        <w:t xml:space="preserve"> such as a</w:t>
      </w:r>
      <w:r w:rsidRPr="00B9537D">
        <w:t>ccounting firms are developing AI-powered advisory tools, such as KPMG’s tariff-risk modeling application, that enable clients to simulate business scenarios and make informed strategic decisions</w:t>
      </w:r>
      <w:r w:rsidR="00FD76EF">
        <w:t xml:space="preserve"> </w:t>
      </w:r>
      <w:r w:rsidR="00FD76EF" w:rsidRPr="00FD76EF">
        <w:t>(Peng &amp; Liu, 2024)</w:t>
      </w:r>
      <w:r w:rsidRPr="00B9537D">
        <w:t xml:space="preserve">. </w:t>
      </w:r>
      <w:r w:rsidR="005F38A7">
        <w:t xml:space="preserve">However, it tends to include the </w:t>
      </w:r>
      <w:r w:rsidRPr="00B9537D">
        <w:t xml:space="preserve">PwC </w:t>
      </w:r>
      <w:r w:rsidR="005F38A7">
        <w:t xml:space="preserve">which </w:t>
      </w:r>
      <w:r w:rsidRPr="00B9537D">
        <w:t xml:space="preserve">has also launched “assurance for AI” services to help clients manage the governance, transparency, and compliance of their own AI systems. </w:t>
      </w:r>
      <w:r w:rsidR="005F38A7">
        <w:t>Based on t</w:t>
      </w:r>
      <w:r w:rsidRPr="00B9537D">
        <w:t>hese initiatives position accounting professionals as strategic partners in technology adoption.</w:t>
      </w:r>
    </w:p>
    <w:p w14:paraId="7C1D00DE" w14:textId="53E336B5" w:rsidR="00B9537D" w:rsidRPr="00B9537D" w:rsidRDefault="00B9537D" w:rsidP="00B9537D">
      <w:pPr>
        <w:spacing w:line="480" w:lineRule="auto"/>
      </w:pPr>
      <w:r>
        <w:tab/>
      </w:r>
      <w:r w:rsidR="005F38A7">
        <w:t xml:space="preserve">It is evident from the recent literature that meanwhile </w:t>
      </w:r>
      <w:r w:rsidRPr="00B9537D">
        <w:t xml:space="preserve">AI adoption accelerates, regulators are issuing guidance to ensure its responsible use. </w:t>
      </w:r>
      <w:r w:rsidR="005F38A7">
        <w:t xml:space="preserve">According to the </w:t>
      </w:r>
      <w:r w:rsidRPr="00B9537D">
        <w:t xml:space="preserve">Public Company Accounting Oversight Board (PCAOB) </w:t>
      </w:r>
      <w:r w:rsidR="005F38A7">
        <w:t xml:space="preserve">which </w:t>
      </w:r>
      <w:r w:rsidRPr="00B9537D">
        <w:t xml:space="preserve">has amended standards for technology-assisted analysis, effective for audits of fiscal years beginning on or after December 15, 2025. </w:t>
      </w:r>
      <w:r w:rsidR="005F38A7">
        <w:t>So, on the basis of t</w:t>
      </w:r>
      <w:r w:rsidRPr="00B9537D">
        <w:t xml:space="preserve">hese </w:t>
      </w:r>
      <w:r w:rsidR="005F38A7" w:rsidRPr="00B9537D">
        <w:t>updates,</w:t>
      </w:r>
      <w:r w:rsidRPr="00B9537D">
        <w:t xml:space="preserve"> </w:t>
      </w:r>
      <w:r w:rsidR="005F38A7">
        <w:t xml:space="preserve">which </w:t>
      </w:r>
      <w:r w:rsidRPr="00B9537D">
        <w:t xml:space="preserve">require clear documentation, testing, and oversight of AI-enabled procedures. </w:t>
      </w:r>
      <w:r w:rsidR="005F38A7">
        <w:t xml:space="preserve">It also includes the </w:t>
      </w:r>
      <w:r w:rsidRPr="00B9537D">
        <w:t xml:space="preserve">UK’s Financial Reporting Council (FRC) </w:t>
      </w:r>
      <w:r w:rsidR="005F38A7">
        <w:t xml:space="preserve">which </w:t>
      </w:r>
      <w:r w:rsidRPr="00B9537D">
        <w:t xml:space="preserve">has released its </w:t>
      </w:r>
      <w:r w:rsidRPr="00B9537D">
        <w:lastRenderedPageBreak/>
        <w:t>first AI guidance for auditors, addressing transparency, audit quality, and ethical considerations</w:t>
      </w:r>
      <w:r w:rsidR="00FD76EF">
        <w:t xml:space="preserve"> </w:t>
      </w:r>
      <w:r w:rsidR="00FD76EF" w:rsidRPr="00FD76EF">
        <w:t>(Peng &amp; Liu, 2024)</w:t>
      </w:r>
      <w:r w:rsidRPr="00B9537D">
        <w:t>.</w:t>
      </w:r>
    </w:p>
    <w:p w14:paraId="608E0F72" w14:textId="63B99F14" w:rsidR="00B9537D" w:rsidRPr="00B9537D" w:rsidRDefault="00B9537D" w:rsidP="00B9537D">
      <w:pPr>
        <w:spacing w:line="480" w:lineRule="auto"/>
      </w:pPr>
      <w:r>
        <w:tab/>
      </w:r>
      <w:r w:rsidR="005F38A7">
        <w:t>Based on the r</w:t>
      </w:r>
      <w:r w:rsidRPr="00B9537D">
        <w:t xml:space="preserve">egulatory bodies </w:t>
      </w:r>
      <w:r w:rsidR="005F38A7">
        <w:t xml:space="preserve">which </w:t>
      </w:r>
      <w:r w:rsidRPr="00B9537D">
        <w:t xml:space="preserve">have warned that many firms are not yet tracking the effect of AI on audit quality. </w:t>
      </w:r>
      <w:r w:rsidR="005F38A7">
        <w:t xml:space="preserve">According to the </w:t>
      </w:r>
      <w:r w:rsidRPr="00B9537D">
        <w:t xml:space="preserve">FRC’s 2025 review </w:t>
      </w:r>
      <w:r w:rsidR="005F38A7">
        <w:t xml:space="preserve">which </w:t>
      </w:r>
      <w:r w:rsidRPr="00B9537D">
        <w:t xml:space="preserve">found that large firms often measure AI adoption by license usage rather than by quality outcomes such as error reduction or improved risk detection. </w:t>
      </w:r>
      <w:r w:rsidR="005F38A7">
        <w:t>On the basis of that w</w:t>
      </w:r>
      <w:r w:rsidRPr="00B9537D">
        <w:t>ithout outcome-based metrics, it is difficult to determine whether AI is enhancing the reliability and integrity of financial reporting</w:t>
      </w:r>
      <w:r w:rsidR="00FD76EF">
        <w:t xml:space="preserve"> </w:t>
      </w:r>
      <w:r w:rsidR="00FD76EF" w:rsidRPr="00FD76EF">
        <w:t>(Alahmadi, 2024)</w:t>
      </w:r>
      <w:r w:rsidRPr="00B9537D">
        <w:t>.</w:t>
      </w:r>
    </w:p>
    <w:p w14:paraId="05C026B9" w14:textId="6DBA6C75" w:rsidR="00B9537D" w:rsidRPr="00B9537D" w:rsidRDefault="00B9537D" w:rsidP="00B9537D">
      <w:pPr>
        <w:spacing w:line="480" w:lineRule="auto"/>
      </w:pPr>
      <w:r>
        <w:tab/>
      </w:r>
      <w:r w:rsidR="005F38A7">
        <w:t xml:space="preserve">It is essential to understand that </w:t>
      </w:r>
      <w:r w:rsidRPr="00B9537D">
        <w:t>AI offers significant benefits, it also introduces risks</w:t>
      </w:r>
      <w:r w:rsidR="005F38A7">
        <w:t xml:space="preserve"> which </w:t>
      </w:r>
      <w:r w:rsidRPr="00B9537D">
        <w:t>include algorithmic bias, data privacy breaches, over-reliance on automated outputs, and vulnerabilities from third-party AI vendors</w:t>
      </w:r>
      <w:r w:rsidR="00FD76EF">
        <w:t xml:space="preserve"> </w:t>
      </w:r>
      <w:r w:rsidR="00FD76EF" w:rsidRPr="00FD76EF">
        <w:t>(Peng &amp; Liu, 2024)</w:t>
      </w:r>
      <w:r w:rsidRPr="00B9537D">
        <w:t xml:space="preserve">. </w:t>
      </w:r>
      <w:r w:rsidR="005F38A7">
        <w:t>So, in order t</w:t>
      </w:r>
      <w:r w:rsidRPr="00B9537D">
        <w:t xml:space="preserve">o mitigate these risks, firms must implement robust control frameworks encompassing access management, model testing, and change management. </w:t>
      </w:r>
      <w:r w:rsidR="005F38A7">
        <w:t xml:space="preserve">Based on the </w:t>
      </w:r>
      <w:r w:rsidRPr="00B9537D">
        <w:t xml:space="preserve">PCAOB </w:t>
      </w:r>
      <w:r w:rsidR="005F38A7">
        <w:t xml:space="preserve">which </w:t>
      </w:r>
      <w:r w:rsidRPr="00B9537D">
        <w:t>emphasizes that human oversight remains essential to maintain audit integrity when using AI</w:t>
      </w:r>
      <w:r w:rsidR="00FD76EF">
        <w:t xml:space="preserve"> </w:t>
      </w:r>
      <w:r w:rsidR="00FD76EF" w:rsidRPr="00FD76EF">
        <w:t>(Peng &amp; Liu, 2024)</w:t>
      </w:r>
      <w:r w:rsidRPr="00B9537D">
        <w:t>.</w:t>
      </w:r>
    </w:p>
    <w:p w14:paraId="409A3A53" w14:textId="5FFD18BF" w:rsidR="00B9537D" w:rsidRPr="00B9537D" w:rsidRDefault="00B9537D" w:rsidP="00B9537D">
      <w:pPr>
        <w:spacing w:line="480" w:lineRule="auto"/>
      </w:pPr>
      <w:r>
        <w:tab/>
      </w:r>
      <w:r w:rsidR="00C170A7">
        <w:t xml:space="preserve">As per the recent studies which suggests that </w:t>
      </w:r>
      <w:r w:rsidRPr="00B9537D">
        <w:t xml:space="preserve">AI is fundamentally transforming accounting by automating routine work, enhancing strategic insights, and enabling new advisory services. </w:t>
      </w:r>
      <w:r w:rsidR="00C170A7">
        <w:t xml:space="preserve">One of the majors </w:t>
      </w:r>
      <w:r w:rsidRPr="00B9537D">
        <w:t xml:space="preserve">capturing these benefits requires careful governance, measurable quality outcomes, and continuous workforce upskilling. </w:t>
      </w:r>
      <w:r w:rsidR="00C170A7">
        <w:t>It tends to include the f</w:t>
      </w:r>
      <w:r w:rsidRPr="00B9537D">
        <w:t>irms that balance innovation with ethical oversight and regulatory compliance are most likely to gain a competitive advantage in the evolving accounting landscape</w:t>
      </w:r>
      <w:r w:rsidR="00FD76EF">
        <w:t xml:space="preserve"> </w:t>
      </w:r>
      <w:r w:rsidR="00FD76EF" w:rsidRPr="00FD76EF">
        <w:t>(Yang, Nguyen, &amp; Young, 2024)</w:t>
      </w:r>
      <w:r w:rsidRPr="00B9537D">
        <w:t>.</w:t>
      </w:r>
    </w:p>
    <w:p w14:paraId="78FBF7FE" w14:textId="0F8274CF" w:rsidR="00BC1686" w:rsidRPr="00835D81" w:rsidRDefault="00BC1686" w:rsidP="00BC1686">
      <w:pPr>
        <w:spacing w:line="480" w:lineRule="auto"/>
      </w:pPr>
    </w:p>
    <w:p w14:paraId="12A92579" w14:textId="77777777" w:rsidR="00F5335C" w:rsidRDefault="00F5335C" w:rsidP="00F5335C">
      <w:pPr>
        <w:spacing w:line="480" w:lineRule="auto"/>
        <w:jc w:val="center"/>
        <w:rPr>
          <w:b/>
          <w:bCs/>
        </w:rPr>
      </w:pPr>
      <w:r w:rsidRPr="00835D81">
        <w:rPr>
          <w:b/>
          <w:bCs/>
        </w:rPr>
        <w:t>How Big Data is Changing Financial Decision Making</w:t>
      </w:r>
    </w:p>
    <w:p w14:paraId="45F48784" w14:textId="449563CE" w:rsidR="00B9537D" w:rsidRDefault="00B9537D" w:rsidP="00B9537D">
      <w:pPr>
        <w:spacing w:line="480" w:lineRule="auto"/>
      </w:pPr>
      <w:r w:rsidRPr="00B9537D">
        <w:lastRenderedPageBreak/>
        <w:tab/>
      </w:r>
      <w:r w:rsidR="00C170A7">
        <w:t xml:space="preserve">It is analysed from the </w:t>
      </w:r>
      <w:r w:rsidRPr="00B9537D">
        <w:t>past year, finance teams have moved from static, backward-looking reporting toward continuous, data-driven forecasting that blends internal ledgers with high-frequency operational signals</w:t>
      </w:r>
      <w:r w:rsidR="00FD76EF">
        <w:t xml:space="preserve"> </w:t>
      </w:r>
      <w:r w:rsidR="00FD76EF" w:rsidRPr="00FD76EF">
        <w:t>(Peng &amp; Liu, 2024)</w:t>
      </w:r>
      <w:r w:rsidRPr="00B9537D">
        <w:t xml:space="preserve">. </w:t>
      </w:r>
      <w:r w:rsidR="00C170A7">
        <w:t xml:space="preserve">Based on the </w:t>
      </w:r>
      <w:r w:rsidRPr="00B9537D">
        <w:t xml:space="preserve">CFO surveys and industry </w:t>
      </w:r>
      <w:r w:rsidR="00C170A7">
        <w:t xml:space="preserve">which </w:t>
      </w:r>
      <w:r w:rsidRPr="00B9537D">
        <w:t>outlooks show budgets and priorities shifting to platforms that operationalize big data for rolling forecasts, scenario modeling, and variance analytics so decisions can adjust in near real time</w:t>
      </w:r>
      <w:r w:rsidR="00FD76EF">
        <w:t xml:space="preserve"> </w:t>
      </w:r>
      <w:r w:rsidR="00FD76EF" w:rsidRPr="00FD76EF">
        <w:t>(Alahmadi, 2024)</w:t>
      </w:r>
      <w:r w:rsidRPr="00B9537D">
        <w:t xml:space="preserve">. </w:t>
      </w:r>
      <w:r w:rsidR="00C170A7">
        <w:t>On the basis of that, t</w:t>
      </w:r>
      <w:r w:rsidRPr="00B9537D">
        <w:t>his pivot is visible across sectors—from regulated banking (where risk data pipelines must meet supervisory scrutiny) to retail (where granular demand signals shape replenishment and pricing)—linking forecasting accuracy directly to working-capital, margin, and risk outcomes</w:t>
      </w:r>
      <w:r w:rsidR="00464473">
        <w:t xml:space="preserve"> </w:t>
      </w:r>
      <w:r w:rsidR="00464473" w:rsidRPr="00464473">
        <w:t>(Peng and Liu, 2024)</w:t>
      </w:r>
      <w:r w:rsidRPr="00B9537D">
        <w:t>.</w:t>
      </w:r>
    </w:p>
    <w:p w14:paraId="04627626" w14:textId="75E2749A" w:rsidR="00B9537D" w:rsidRDefault="00B9537D" w:rsidP="00B9537D">
      <w:pPr>
        <w:spacing w:line="480" w:lineRule="auto"/>
      </w:pPr>
      <w:r>
        <w:tab/>
      </w:r>
      <w:r w:rsidR="00C170A7">
        <w:t xml:space="preserve">It is evident from </w:t>
      </w:r>
      <w:r w:rsidR="00AF5A15">
        <w:t>studies</w:t>
      </w:r>
      <w:r w:rsidR="00C170A7">
        <w:t xml:space="preserve"> that the c</w:t>
      </w:r>
      <w:r w:rsidRPr="00B9537D">
        <w:t xml:space="preserve">ompanies now fuse ERP/GL entries, order and invoice flows, CRM opportunity stages, web/app telemetry, promotions, card-spend indicators, mobility/weather data, and supply-chain events into unified feature stores for forecasting. </w:t>
      </w:r>
      <w:r w:rsidR="00C170A7">
        <w:t>Nevertheless, it tends to comprise of f</w:t>
      </w:r>
      <w:r w:rsidRPr="00B9537D">
        <w:t>inance teams prioritize “data readiness” (clean lineage, timeliness, access controls) because downstream forecast quality is constrained by upstream integrity; guidance from finance and risk regulators reinforces expectations for model governance and documentation of data sources when forecasts influence external reporting or risk decisions</w:t>
      </w:r>
      <w:r w:rsidR="00FD76EF">
        <w:t xml:space="preserve"> </w:t>
      </w:r>
      <w:r w:rsidR="00FD76EF" w:rsidRPr="00FD76EF">
        <w:t>(Yang, Nguyen, &amp; Young, 2024)</w:t>
      </w:r>
      <w:r w:rsidRPr="00B9537D">
        <w:t>.</w:t>
      </w:r>
    </w:p>
    <w:p w14:paraId="23A63A71" w14:textId="7C1672DB" w:rsidR="00B9537D" w:rsidRDefault="00B9537D" w:rsidP="00B9537D">
      <w:pPr>
        <w:spacing w:line="480" w:lineRule="auto"/>
      </w:pPr>
      <w:r>
        <w:tab/>
      </w:r>
      <w:r w:rsidR="00C170A7">
        <w:t>According to the f</w:t>
      </w:r>
      <w:r w:rsidRPr="00B9537D">
        <w:t xml:space="preserve">orecasting </w:t>
      </w:r>
      <w:r w:rsidR="00C170A7">
        <w:t xml:space="preserve">which </w:t>
      </w:r>
      <w:r w:rsidRPr="00B9537D">
        <w:t>has moved beyond simple extrapolation toward machine-learning pipelines that detect nonlinear patterns, seasonality shifts, and external shocks across thousands of SKUs or segments</w:t>
      </w:r>
      <w:r w:rsidR="00FD76EF">
        <w:t xml:space="preserve"> </w:t>
      </w:r>
      <w:r w:rsidR="00FD76EF" w:rsidRPr="00FD76EF">
        <w:t>(Peng &amp; Liu, 2024)</w:t>
      </w:r>
      <w:r w:rsidRPr="00B9537D">
        <w:t xml:space="preserve">. </w:t>
      </w:r>
      <w:r w:rsidR="00C170A7">
        <w:t>Based on recent</w:t>
      </w:r>
      <w:r w:rsidRPr="00B9537D">
        <w:t xml:space="preserve"> research </w:t>
      </w:r>
      <w:r w:rsidR="00C170A7">
        <w:t xml:space="preserve">which ultimately </w:t>
      </w:r>
      <w:r w:rsidRPr="00B9537D">
        <w:t xml:space="preserve">highlights hybrid </w:t>
      </w:r>
      <w:r w:rsidR="00C170A7" w:rsidRPr="00B9537D">
        <w:t xml:space="preserve">architecture, </w:t>
      </w:r>
      <w:r w:rsidRPr="00B9537D">
        <w:t xml:space="preserve">e.g., CNN-LSTM stacks—that combine feature extraction with time-series learning to improve accuracy on large, noisy financial datasets, enabling real-time refresh cycles and decision support dashboards for finance leaders. </w:t>
      </w:r>
      <w:r w:rsidR="00C170A7">
        <w:t xml:space="preserve">On the </w:t>
      </w:r>
      <w:r w:rsidR="00C170A7">
        <w:lastRenderedPageBreak/>
        <w:t xml:space="preserve">basis of </w:t>
      </w:r>
      <w:r w:rsidRPr="00B9537D">
        <w:t xml:space="preserve">these models </w:t>
      </w:r>
      <w:r w:rsidR="00C170A7">
        <w:t xml:space="preserve">which </w:t>
      </w:r>
      <w:r w:rsidRPr="00B9537D">
        <w:t>run alongside traditional approaches, with performance monitored via accuracy metrics and backtests before deployment into planning cadences</w:t>
      </w:r>
      <w:r w:rsidR="00FD76EF">
        <w:t xml:space="preserve"> </w:t>
      </w:r>
      <w:r w:rsidR="00FD76EF" w:rsidRPr="00FD76EF">
        <w:t>(Alahmadi, 2024)</w:t>
      </w:r>
      <w:r w:rsidRPr="00B9537D">
        <w:t>.</w:t>
      </w:r>
    </w:p>
    <w:p w14:paraId="15049E47" w14:textId="7C499947" w:rsidR="00B9537D" w:rsidRDefault="00B9537D" w:rsidP="00B9537D">
      <w:pPr>
        <w:spacing w:line="480" w:lineRule="auto"/>
      </w:pPr>
      <w:r>
        <w:tab/>
      </w:r>
      <w:r w:rsidR="00C170A7">
        <w:t>As per the l</w:t>
      </w:r>
      <w:r w:rsidRPr="00B9537D">
        <w:t>arge retailers exemplify big data forecasting at scale: inventory and sales telemetry, event calendars, local weather, and regional economics feed systems that anticipate stockouts and rebalance inventory before demand spikes</w:t>
      </w:r>
      <w:r w:rsidR="00FD76EF">
        <w:t xml:space="preserve"> </w:t>
      </w:r>
      <w:r w:rsidR="00FD76EF" w:rsidRPr="00FD76EF">
        <w:t>(Yang, Nguyen, &amp; Young, 2024)</w:t>
      </w:r>
      <w:r w:rsidRPr="00B9537D">
        <w:t xml:space="preserve">. </w:t>
      </w:r>
      <w:r w:rsidR="00C170A7">
        <w:t>In accordance with the r</w:t>
      </w:r>
      <w:r w:rsidRPr="00B9537D">
        <w:t xml:space="preserve">eported outcomes include billions of weekly predictions, improved shelf availability, and fewer reactive transfers—benefits that cascade into more reliable revenue timing and lower carrying costs. </w:t>
      </w:r>
      <w:r w:rsidR="003F48D7">
        <w:t>Based on t</w:t>
      </w:r>
      <w:r w:rsidRPr="00B9537D">
        <w:t>hese same mechanics translate to FP&amp;A via tighter cash-conversion cycles and more defensible top-line forecasts</w:t>
      </w:r>
      <w:r w:rsidR="00FD76EF">
        <w:t xml:space="preserve"> </w:t>
      </w:r>
      <w:r w:rsidR="00FD76EF" w:rsidRPr="00FD76EF">
        <w:t>(Peng &amp; Liu, 2024)</w:t>
      </w:r>
      <w:r w:rsidRPr="00B9537D">
        <w:t>.</w:t>
      </w:r>
    </w:p>
    <w:p w14:paraId="05C5C1DE" w14:textId="18DDB6AA" w:rsidR="00B9537D" w:rsidRDefault="00B9537D" w:rsidP="00B9537D">
      <w:pPr>
        <w:spacing w:line="480" w:lineRule="auto"/>
      </w:pPr>
      <w:r>
        <w:tab/>
      </w:r>
      <w:r w:rsidR="003F48D7">
        <w:t xml:space="preserve">In the regard of </w:t>
      </w:r>
      <w:r w:rsidRPr="00B9537D">
        <w:t>financial institutions, supervisory risk reports emphasize integrating macroeconomic variables, portfolio performance, and concentration data to monitor emerging risks and inform provisioning and stress scenarios</w:t>
      </w:r>
      <w:r w:rsidR="00FD76EF">
        <w:t xml:space="preserve"> </w:t>
      </w:r>
      <w:r w:rsidR="00FD76EF" w:rsidRPr="00FD76EF">
        <w:t>(Alahmadi, 2024)</w:t>
      </w:r>
      <w:r w:rsidRPr="00B9537D">
        <w:t xml:space="preserve">. </w:t>
      </w:r>
      <w:r w:rsidR="00AF5A15">
        <w:t xml:space="preserve">Nevertheless, it tends to comprise </w:t>
      </w:r>
      <w:r w:rsidR="003F48D7">
        <w:t>of m</w:t>
      </w:r>
      <w:r w:rsidRPr="00B9537D">
        <w:t xml:space="preserve">odern risk </w:t>
      </w:r>
      <w:r w:rsidR="003F48D7">
        <w:t xml:space="preserve">in which </w:t>
      </w:r>
      <w:r w:rsidRPr="00B9537D">
        <w:t xml:space="preserve">data programs connect loan-level data to model pipelines so forecasts of charge-offs, NIM sensitivity, and liquidity drawdowns can be updated more </w:t>
      </w:r>
      <w:r w:rsidR="003F48D7" w:rsidRPr="00B9537D">
        <w:t>frequently improving</w:t>
      </w:r>
      <w:r w:rsidRPr="00B9537D">
        <w:t xml:space="preserve"> the alignment between accounting estimates and forward-looking risk. </w:t>
      </w:r>
      <w:r w:rsidR="00AF5A15">
        <w:t xml:space="preserve">On the basis of that </w:t>
      </w:r>
      <w:r w:rsidRPr="00B9537D">
        <w:t>same pipelines support finance with early signals that influence planning ranges and capital allocation</w:t>
      </w:r>
      <w:r w:rsidR="00FD76EF">
        <w:t xml:space="preserve"> </w:t>
      </w:r>
      <w:r w:rsidR="00FD76EF" w:rsidRPr="00FD76EF">
        <w:t>(Yang, Nguyen, &amp; Young, 2024)</w:t>
      </w:r>
      <w:r w:rsidRPr="00B9537D">
        <w:t>.</w:t>
      </w:r>
    </w:p>
    <w:p w14:paraId="497CF1E1" w14:textId="1C8B906C" w:rsidR="00B9537D" w:rsidRDefault="00B9537D" w:rsidP="00B9537D">
      <w:pPr>
        <w:spacing w:line="480" w:lineRule="auto"/>
      </w:pPr>
      <w:r>
        <w:tab/>
      </w:r>
      <w:r w:rsidR="00AF5A15">
        <w:t>It tends to be based on c</w:t>
      </w:r>
      <w:r w:rsidRPr="00B9537D">
        <w:t xml:space="preserve">ompanies realizing tangible gains treat forecasting as an ongoing service with clear ownership, SLAs, and quality metrics. </w:t>
      </w:r>
      <w:r w:rsidR="00AF5A15">
        <w:t>Based on the f</w:t>
      </w:r>
      <w:r w:rsidRPr="00B9537D">
        <w:t xml:space="preserve">inance leaders </w:t>
      </w:r>
      <w:r w:rsidR="00AF5A15" w:rsidRPr="00B9537D">
        <w:t>track, it</w:t>
      </w:r>
      <w:r w:rsidRPr="00B9537D">
        <w:t xml:space="preserve"> </w:t>
      </w:r>
      <w:r w:rsidR="00FD76EF" w:rsidRPr="00B9537D">
        <w:t>means</w:t>
      </w:r>
      <w:r w:rsidRPr="00B9537D">
        <w:t xml:space="preserve"> absolute percentage error (MAPE), forecast cycle time, variance attribution rate, and corrective-action lag to drive accountability and learning across cycles. </w:t>
      </w:r>
      <w:r w:rsidR="00AF5A15">
        <w:t>In accordance with the t</w:t>
      </w:r>
      <w:r w:rsidRPr="00B9537D">
        <w:t>ool adoption alone is not treated as success; teams institutionalize post-mortems that tie model changes to business outcomes and codify feature updates in a controlled backlog.</w:t>
      </w:r>
    </w:p>
    <w:p w14:paraId="04EE1AAB" w14:textId="7E003A1E" w:rsidR="00B9537D" w:rsidRDefault="00B9537D" w:rsidP="00B9537D">
      <w:pPr>
        <w:spacing w:line="480" w:lineRule="auto"/>
      </w:pPr>
      <w:r>
        <w:lastRenderedPageBreak/>
        <w:tab/>
      </w:r>
      <w:r w:rsidR="00AF5A15">
        <w:t>As per the analysis of various studies which suggests that w</w:t>
      </w:r>
      <w:r w:rsidRPr="00B9537D">
        <w:t xml:space="preserve">hen big data pipelines and governance mature, finance reports </w:t>
      </w:r>
      <w:r w:rsidR="00FD76EF" w:rsidRPr="00B9537D">
        <w:t>faster</w:t>
      </w:r>
      <w:r w:rsidRPr="00B9537D">
        <w:t xml:space="preserve">, higher forecast accuracy, and richer what-if analysis that informs pricing, promotions, hiring, and capex timing. </w:t>
      </w:r>
      <w:r w:rsidR="00AF5A15">
        <w:t>It is evident from the studies that the C</w:t>
      </w:r>
      <w:r w:rsidRPr="00B9537D">
        <w:t>FO trend reports note broadened FP&amp;A scope—from budget maintenance to decision enablement—while advisory research shows AI-augmented forecasting improving the interpretability and explanation of results to non-finance stakeholders through narrative and diagnostic analytics</w:t>
      </w:r>
      <w:r w:rsidR="00FD76EF">
        <w:t xml:space="preserve"> </w:t>
      </w:r>
      <w:r w:rsidR="00FD76EF" w:rsidRPr="00FD76EF">
        <w:t>(Yang, Nguyen, &amp; Young, 2024)</w:t>
      </w:r>
      <w:r w:rsidRPr="00B9537D">
        <w:t xml:space="preserve">. </w:t>
      </w:r>
      <w:r w:rsidR="00AF5A15">
        <w:t>According to t</w:t>
      </w:r>
      <w:r w:rsidRPr="00B9537D">
        <w:t>hese effects compound during volatile periods, when refreshable models and external signals keep plans aligned to reality</w:t>
      </w:r>
      <w:r w:rsidR="00FD76EF">
        <w:t xml:space="preserve"> </w:t>
      </w:r>
      <w:r w:rsidR="00FD76EF" w:rsidRPr="00FD76EF">
        <w:t>(Alahmadi, 2024)</w:t>
      </w:r>
      <w:r w:rsidRPr="00B9537D">
        <w:t>.</w:t>
      </w:r>
    </w:p>
    <w:p w14:paraId="49704D11" w14:textId="29B70EC5" w:rsidR="00B9537D" w:rsidRPr="00B9537D" w:rsidRDefault="00B9537D" w:rsidP="00B9537D">
      <w:pPr>
        <w:spacing w:line="480" w:lineRule="auto"/>
      </w:pPr>
      <w:r>
        <w:tab/>
      </w:r>
      <w:r w:rsidR="00AF5A15">
        <w:t>It is important to understand that b</w:t>
      </w:r>
      <w:r w:rsidRPr="00B9537D">
        <w:t xml:space="preserve">ig data enhances accounting and forecasting when organizations treat data pipelines, model governance, and finance processes as one system. </w:t>
      </w:r>
      <w:r w:rsidR="00AF5A15">
        <w:t>As per the f</w:t>
      </w:r>
      <w:r w:rsidRPr="00B9537D">
        <w:t>irms that operationalize this system report sharper forecast accuracy, faster replans, and higher confidence among decision makers—advantages that accumulate over successive planning cycles and become a durable source of financial discipline</w:t>
      </w:r>
      <w:r w:rsidR="00FD76EF">
        <w:t xml:space="preserve"> </w:t>
      </w:r>
      <w:r w:rsidR="00FD76EF" w:rsidRPr="00FD76EF">
        <w:t>(Alahmadi, 2024)</w:t>
      </w:r>
      <w:r w:rsidRPr="00B9537D">
        <w:t>.</w:t>
      </w:r>
    </w:p>
    <w:p w14:paraId="2A2DAC16" w14:textId="77777777" w:rsidR="00F5335C" w:rsidRDefault="00F5335C" w:rsidP="00F5335C">
      <w:pPr>
        <w:spacing w:line="480" w:lineRule="auto"/>
        <w:jc w:val="center"/>
        <w:rPr>
          <w:b/>
          <w:bCs/>
        </w:rPr>
      </w:pPr>
      <w:r w:rsidRPr="00835D81">
        <w:rPr>
          <w:b/>
          <w:bCs/>
        </w:rPr>
        <w:t>Cybersecurity Breaches in Financial Systems</w:t>
      </w:r>
    </w:p>
    <w:p w14:paraId="0D2D621D" w14:textId="018365B8" w:rsidR="00B9537D" w:rsidRDefault="00B9537D" w:rsidP="00B9537D">
      <w:pPr>
        <w:spacing w:line="480" w:lineRule="auto"/>
      </w:pPr>
      <w:r w:rsidRPr="00B9537D">
        <w:tab/>
      </w:r>
      <w:r w:rsidR="00AF5A15">
        <w:t xml:space="preserve">It tends to analysed from the different studies that </w:t>
      </w:r>
      <w:r w:rsidR="00FD76EF">
        <w:t>cyber</w:t>
      </w:r>
      <w:r w:rsidRPr="00B9537D">
        <w:t xml:space="preserve"> incidents have become a material financial risk, affecting revenue timing, cash flows, and valuation through disruption, remediation expenses, regulatory exposure, and reputational damage. </w:t>
      </w:r>
      <w:r w:rsidR="00AF5A15">
        <w:t xml:space="preserve">According to the </w:t>
      </w:r>
      <w:r w:rsidRPr="00B9537D">
        <w:t>latest IBM study reports the global average cost of a breach at about $4.44 million in 2025, with U.S. incidents averaging $10.22 million, and flags new cost drivers from ungoverned “shadow AI.” These findings position cyber resilience as a finance priority rather than a purely technical concern</w:t>
      </w:r>
      <w:r w:rsidR="00464473">
        <w:t xml:space="preserve"> </w:t>
      </w:r>
      <w:r w:rsidR="00464473" w:rsidRPr="00464473">
        <w:t>(Yang, Nguyen and Young, 2024)</w:t>
      </w:r>
      <w:r w:rsidRPr="00B9537D">
        <w:t>.</w:t>
      </w:r>
    </w:p>
    <w:p w14:paraId="5494A6D4" w14:textId="54062DE2" w:rsidR="00B9537D" w:rsidRPr="00FD76EF" w:rsidRDefault="00B9537D" w:rsidP="00B9537D">
      <w:pPr>
        <w:spacing w:line="480" w:lineRule="auto"/>
      </w:pPr>
      <w:r w:rsidRPr="00FD76EF">
        <w:lastRenderedPageBreak/>
        <w:tab/>
      </w:r>
      <w:r w:rsidR="00AF5A15" w:rsidRPr="00FD76EF">
        <w:t>So, on the basis of that b</w:t>
      </w:r>
      <w:r w:rsidRPr="00FD76EF">
        <w:t xml:space="preserve">reaches create direct costs (forensics, legal, containment, notification, credit monitoring) and indirect costs (downtime, lost sales, customer churn), while also affecting financial statement estimates such as impairment testing, provisions, and contingent liability disclosures. </w:t>
      </w:r>
      <w:r w:rsidR="00AF5A15" w:rsidRPr="00FD76EF">
        <w:t>It is important to understand that r</w:t>
      </w:r>
      <w:r w:rsidRPr="00FD76EF">
        <w:t>egulators increasingly expect timely, decision</w:t>
      </w:r>
      <w:r w:rsidRPr="00FD76EF">
        <w:noBreakHyphen/>
        <w:t>useful incident information; the SEC has reiterated that Item 1.05 Form 8</w:t>
      </w:r>
      <w:r w:rsidRPr="00FD76EF">
        <w:noBreakHyphen/>
        <w:t>K is reserved for material incidents and encouraged Item 8.01 for voluntary, non</w:t>
      </w:r>
      <w:r w:rsidRPr="00FD76EF">
        <w:noBreakHyphen/>
        <w:t>material updates, sharpening disclosure judgments that link cybersecurity events to financial reporting</w:t>
      </w:r>
      <w:r w:rsidR="00FD76EF" w:rsidRPr="00FD76EF">
        <w:t xml:space="preserve"> </w:t>
      </w:r>
      <w:r w:rsidR="00FD76EF" w:rsidRPr="00FD76EF">
        <w:t>(Alahmadi, 2024)</w:t>
      </w:r>
      <w:r w:rsidRPr="00FD76EF">
        <w:t>.</w:t>
      </w:r>
    </w:p>
    <w:p w14:paraId="1543F026" w14:textId="69022B63" w:rsidR="00B9537D" w:rsidRPr="00FD76EF" w:rsidRDefault="00B9537D" w:rsidP="00B9537D">
      <w:pPr>
        <w:spacing w:line="480" w:lineRule="auto"/>
      </w:pPr>
      <w:r w:rsidRPr="00FD76EF">
        <w:tab/>
      </w:r>
      <w:r w:rsidR="00AF5A15" w:rsidRPr="00FD76EF">
        <w:t>Based on the c</w:t>
      </w:r>
      <w:r w:rsidRPr="00FD76EF">
        <w:t>redential theft and social engineering remain dominant initial access vectors, exposing ledgers, payments data, and customer records that underpin receivables, revenue recognition, and cash forecasting</w:t>
      </w:r>
      <w:r w:rsidR="00FD76EF">
        <w:t xml:space="preserve"> </w:t>
      </w:r>
      <w:r w:rsidR="00FD76EF" w:rsidRPr="00FD76EF">
        <w:t>(Peng &amp; Liu, 2024)</w:t>
      </w:r>
      <w:r w:rsidRPr="00FD76EF">
        <w:t xml:space="preserve">. </w:t>
      </w:r>
      <w:r w:rsidR="00AF5A15" w:rsidRPr="00FD76EF">
        <w:t xml:space="preserve">According to the </w:t>
      </w:r>
      <w:r w:rsidRPr="00FD76EF">
        <w:t>2025 Verizon DBIR again highlights credential</w:t>
      </w:r>
      <w:r w:rsidRPr="00FD76EF">
        <w:noBreakHyphen/>
        <w:t>based compromise as the leading breach driver, underscoring the need for identity controls tied to finance systems and third</w:t>
      </w:r>
      <w:r w:rsidRPr="00FD76EF">
        <w:noBreakHyphen/>
        <w:t xml:space="preserve">party portals. </w:t>
      </w:r>
      <w:r w:rsidR="00AF5A15" w:rsidRPr="00FD76EF">
        <w:t>So, on the basis of that w</w:t>
      </w:r>
      <w:r w:rsidRPr="00FD76EF">
        <w:t>here data integrity is questioned, management may need to delay closes, restate subledgers, or expand substantive testing—each with cost and reputational implications.</w:t>
      </w:r>
    </w:p>
    <w:p w14:paraId="3C894455" w14:textId="404CC5C5" w:rsidR="00B9537D" w:rsidRPr="00FD76EF" w:rsidRDefault="00B9537D" w:rsidP="00B9537D">
      <w:pPr>
        <w:spacing w:line="480" w:lineRule="auto"/>
      </w:pPr>
      <w:r w:rsidRPr="00FD76EF">
        <w:tab/>
      </w:r>
      <w:r w:rsidR="00AF5A15" w:rsidRPr="00FD76EF">
        <w:t>It is also analysed that r</w:t>
      </w:r>
      <w:r w:rsidRPr="00FD76EF">
        <w:t>ansomware continues to threaten availability of ERP, payroll, and billing platforms, causing missed invoicing cycles, delayed collections, and emergency workarounds that degrade forecast accuracy</w:t>
      </w:r>
      <w:r w:rsidR="00FD76EF">
        <w:t xml:space="preserve"> </w:t>
      </w:r>
      <w:r w:rsidR="00FD76EF" w:rsidRPr="00FD76EF">
        <w:t>(Peng &amp; Liu, 2024)</w:t>
      </w:r>
      <w:r w:rsidRPr="00FD76EF">
        <w:t xml:space="preserve">. </w:t>
      </w:r>
      <w:r w:rsidR="00AF5A15" w:rsidRPr="00FD76EF">
        <w:t>According to the r</w:t>
      </w:r>
      <w:r w:rsidRPr="00FD76EF">
        <w:t>ecent industry tallies place average ransomware incident costs in the multi</w:t>
      </w:r>
      <w:r w:rsidRPr="00FD76EF">
        <w:noBreakHyphen/>
        <w:t>million</w:t>
      </w:r>
      <w:r w:rsidRPr="00FD76EF">
        <w:noBreakHyphen/>
        <w:t>dollar range, with sector analyses showing heavy exposure for financial services and healthcare; operational downtime and data recovery are primary cost drivers even when ransoms are not paid</w:t>
      </w:r>
      <w:r w:rsidR="00FD76EF" w:rsidRPr="00FD76EF">
        <w:t xml:space="preserve"> </w:t>
      </w:r>
      <w:r w:rsidR="00FD76EF" w:rsidRPr="00FD76EF">
        <w:t>(Alahmadi, 2024)</w:t>
      </w:r>
      <w:r w:rsidRPr="00FD76EF">
        <w:t>.</w:t>
      </w:r>
    </w:p>
    <w:p w14:paraId="3841572F" w14:textId="29A278B8" w:rsidR="00B9537D" w:rsidRPr="00FD76EF" w:rsidRDefault="00B9537D" w:rsidP="00B9537D">
      <w:pPr>
        <w:spacing w:line="480" w:lineRule="auto"/>
      </w:pPr>
      <w:r w:rsidRPr="00FD76EF">
        <w:lastRenderedPageBreak/>
        <w:tab/>
      </w:r>
      <w:r w:rsidR="00AF5A15" w:rsidRPr="00FD76EF">
        <w:t>However, as per the o</w:t>
      </w:r>
      <w:r w:rsidRPr="00FD76EF">
        <w:t>bserved breach distributions have shifted: healthcare led in 2024 (≈23%), with finance close behind (22%) in Kroll’s caseload, reflecting persistent targeting of data</w:t>
      </w:r>
      <w:r w:rsidRPr="00FD76EF">
        <w:noBreakHyphen/>
        <w:t>rich, regulated ecosystems</w:t>
      </w:r>
      <w:r w:rsidR="00FD76EF">
        <w:t xml:space="preserve"> </w:t>
      </w:r>
      <w:r w:rsidR="00FD76EF" w:rsidRPr="00FD76EF">
        <w:t>(Yang, Nguyen, &amp; Young, 2024)</w:t>
      </w:r>
      <w:r w:rsidRPr="00FD76EF">
        <w:t xml:space="preserve">. </w:t>
      </w:r>
      <w:r w:rsidR="00AF5A15" w:rsidRPr="00FD76EF">
        <w:t xml:space="preserve">Based on the </w:t>
      </w:r>
      <w:r w:rsidRPr="00FD76EF">
        <w:t>macro level, global outlook surveys show most organizations reporting rising cyber risk, with ransomware and AI</w:t>
      </w:r>
      <w:r w:rsidRPr="00FD76EF">
        <w:noBreakHyphen/>
        <w:t>enhanced social engineering top of mind—trends that amplify volatility in working capital and earnings guidance when incidents strike</w:t>
      </w:r>
      <w:r w:rsidR="00FD76EF">
        <w:t xml:space="preserve"> </w:t>
      </w:r>
      <w:r w:rsidR="00FD76EF" w:rsidRPr="00FD76EF">
        <w:t>(Yang, Nguyen, &amp; Young, 2024)</w:t>
      </w:r>
      <w:r w:rsidRPr="00FD76EF">
        <w:t>.</w:t>
      </w:r>
    </w:p>
    <w:p w14:paraId="2A5C4D66" w14:textId="7A4C898F" w:rsidR="00B9537D" w:rsidRPr="00FD76EF" w:rsidRDefault="00B9537D" w:rsidP="00B9537D">
      <w:pPr>
        <w:spacing w:line="480" w:lineRule="auto"/>
      </w:pPr>
      <w:r w:rsidRPr="00FD76EF">
        <w:tab/>
      </w:r>
      <w:r w:rsidR="00AF5A15" w:rsidRPr="00FD76EF">
        <w:t>It is evident from the recent analysis that protecting</w:t>
      </w:r>
      <w:r w:rsidRPr="00FD76EF">
        <w:t xml:space="preserve"> financial data is an all</w:t>
      </w:r>
      <w:r w:rsidRPr="00FD76EF">
        <w:noBreakHyphen/>
        <w:t>hands mandate. IT/security leads identity</w:t>
      </w:r>
      <w:r w:rsidRPr="00FD76EF">
        <w:noBreakHyphen/>
        <w:t>centric controls (MFA, phishing</w:t>
      </w:r>
      <w:r w:rsidRPr="00FD76EF">
        <w:noBreakHyphen/>
        <w:t>resistant authentication), segmentation of finance apps, encryption/tokenization, immutable backups, and rapid detection/response; procurement vets vendors and enforces breach</w:t>
      </w:r>
      <w:r w:rsidRPr="00FD76EF">
        <w:noBreakHyphen/>
        <w:t>notification and security addenda; legal/compliance interprets materiality and orchestrates SEC</w:t>
      </w:r>
      <w:r w:rsidRPr="00FD76EF">
        <w:noBreakHyphen/>
        <w:t>ready disclosures; HR and L&amp;D deliver mandatory anti</w:t>
      </w:r>
      <w:r w:rsidRPr="00FD76EF">
        <w:noBreakHyphen/>
        <w:t>phishing and secure</w:t>
      </w:r>
      <w:r w:rsidRPr="00FD76EF">
        <w:noBreakHyphen/>
        <w:t>AI training; operations maintain business</w:t>
      </w:r>
      <w:r w:rsidRPr="00FD76EF">
        <w:noBreakHyphen/>
        <w:t>continuity runbooks for billing, payroll, and treasury; and communications/IR prepare investor</w:t>
      </w:r>
      <w:r w:rsidRPr="00FD76EF">
        <w:noBreakHyphen/>
        <w:t>grade statements when incidents rise to materiality</w:t>
      </w:r>
      <w:r w:rsidR="00FD76EF" w:rsidRPr="00FD76EF">
        <w:t xml:space="preserve"> </w:t>
      </w:r>
      <w:r w:rsidR="00FD76EF" w:rsidRPr="00FD76EF">
        <w:t>(Alahmadi, 2024)</w:t>
      </w:r>
      <w:r w:rsidRPr="00FD76EF">
        <w:t xml:space="preserve">. </w:t>
      </w:r>
      <w:r w:rsidR="00AF5A15" w:rsidRPr="00FD76EF">
        <w:t>Based on t</w:t>
      </w:r>
      <w:r w:rsidRPr="00FD76EF">
        <w:t>his cross</w:t>
      </w:r>
      <w:r w:rsidRPr="00FD76EF">
        <w:noBreakHyphen/>
        <w:t>functional</w:t>
      </w:r>
      <w:r w:rsidR="00AF5A15" w:rsidRPr="00FD76EF">
        <w:t xml:space="preserve"> which ultimately</w:t>
      </w:r>
      <w:r w:rsidRPr="00FD76EF">
        <w:t xml:space="preserve"> model aligns technical safeguards with disclosure, continuity, and stakeholder trust</w:t>
      </w:r>
      <w:r w:rsidR="00FD76EF">
        <w:t xml:space="preserve"> </w:t>
      </w:r>
      <w:r w:rsidR="00FD76EF" w:rsidRPr="00FD76EF">
        <w:t>(Peng &amp; Liu, 2024)</w:t>
      </w:r>
      <w:r w:rsidRPr="00FD76EF">
        <w:t>.</w:t>
      </w:r>
      <w:r w:rsidRPr="00FD76EF">
        <w:tab/>
      </w:r>
    </w:p>
    <w:p w14:paraId="4D262433" w14:textId="06653D66" w:rsidR="00B4056C" w:rsidRPr="00FD76EF" w:rsidRDefault="00B4056C" w:rsidP="00B9537D">
      <w:pPr>
        <w:spacing w:line="480" w:lineRule="auto"/>
      </w:pPr>
      <w:r w:rsidRPr="00FD76EF">
        <w:tab/>
        <w:t>A</w:t>
      </w:r>
      <w:r w:rsidR="00AF5A15" w:rsidRPr="00FD76EF">
        <w:t>s per the</w:t>
      </w:r>
      <w:r w:rsidRPr="00FD76EF">
        <w:t xml:space="preserve"> pragmatic control baseline includes: strong MFA and least</w:t>
      </w:r>
      <w:r w:rsidRPr="00FD76EF">
        <w:noBreakHyphen/>
        <w:t>privilege for ERP and treasury platforms; privileged</w:t>
      </w:r>
      <w:r w:rsidRPr="00FD76EF">
        <w:noBreakHyphen/>
        <w:t>access management for service accounts; data</w:t>
      </w:r>
      <w:r w:rsidRPr="00FD76EF">
        <w:noBreakHyphen/>
        <w:t>loss prevention on exports from GL/BI tools; encryption at rest and in transit; tabletop exercises that rehearse close</w:t>
      </w:r>
      <w:r w:rsidRPr="00FD76EF">
        <w:noBreakHyphen/>
        <w:t>cycle disruptions; third</w:t>
      </w:r>
      <w:r w:rsidRPr="00FD76EF">
        <w:noBreakHyphen/>
        <w:t>party risk reviews with contractual breach SLAs; and explicit shadow</w:t>
      </w:r>
      <w:r w:rsidRPr="00FD76EF">
        <w:noBreakHyphen/>
        <w:t>AI governance (approved tools, redaction, retention)</w:t>
      </w:r>
      <w:r w:rsidR="00FD76EF" w:rsidRPr="00FD76EF">
        <w:t xml:space="preserve"> </w:t>
      </w:r>
      <w:r w:rsidR="00FD76EF" w:rsidRPr="00FD76EF">
        <w:t>(Alahmadi, 2024)</w:t>
      </w:r>
      <w:r w:rsidRPr="00FD76EF">
        <w:t xml:space="preserve">. </w:t>
      </w:r>
      <w:r w:rsidR="00AF5A15" w:rsidRPr="00FD76EF">
        <w:t>In accordance with the m</w:t>
      </w:r>
      <w:r w:rsidRPr="00FD76EF">
        <w:t xml:space="preserve">apping these to measurable KPIs (e.g., phishing failure rate, mean time to </w:t>
      </w:r>
      <w:r w:rsidRPr="00FD76EF">
        <w:lastRenderedPageBreak/>
        <w:t>detect/contain, backup restore tests, % of vendors with completed security due diligence) lets finance leadership tie cyber posture to financial outcomes</w:t>
      </w:r>
      <w:r w:rsidR="00464473" w:rsidRPr="00FD76EF">
        <w:t xml:space="preserve"> (Zhang, Lu and Wang, 2025)</w:t>
      </w:r>
      <w:r w:rsidRPr="00FD76EF">
        <w:t>.</w:t>
      </w:r>
    </w:p>
    <w:p w14:paraId="7862CA7B" w14:textId="116E52CC" w:rsidR="00B4056C" w:rsidRPr="00FD76EF" w:rsidRDefault="00B4056C" w:rsidP="00B9537D">
      <w:pPr>
        <w:spacing w:line="480" w:lineRule="auto"/>
      </w:pPr>
      <w:r w:rsidRPr="00FD76EF">
        <w:tab/>
      </w:r>
      <w:r w:rsidR="00AF5A15" w:rsidRPr="00FD76EF">
        <w:t>Based on the l</w:t>
      </w:r>
      <w:r w:rsidRPr="00FD76EF">
        <w:t>eading organizations pre</w:t>
      </w:r>
      <w:r w:rsidRPr="00FD76EF">
        <w:noBreakHyphen/>
        <w:t xml:space="preserve">agree incident materiality criteria with finance, legal, and the audit committee; stand up a disclosure working group; maintain playbooks for Item 1.05 vs. Item 8.01 determinations; and rehearse investor communications. </w:t>
      </w:r>
      <w:r w:rsidR="00AF5A15" w:rsidRPr="00FD76EF">
        <w:t>It is analysed from the r</w:t>
      </w:r>
      <w:r w:rsidRPr="00FD76EF">
        <w:t xml:space="preserve">ecent enforcement and public commentary </w:t>
      </w:r>
      <w:r w:rsidR="00AF5A15" w:rsidRPr="00FD76EF">
        <w:t>indicates</w:t>
      </w:r>
      <w:r w:rsidRPr="00FD76EF">
        <w:t xml:space="preserve"> regulators expect accuracy and timeliness, but also </w:t>
      </w:r>
      <w:r w:rsidR="00AF5A15" w:rsidRPr="00FD76EF">
        <w:t>recognized</w:t>
      </w:r>
      <w:r w:rsidRPr="00FD76EF">
        <w:t xml:space="preserve"> staged updates as facts evolve, which reduces misstatement risk while preserving market integrity</w:t>
      </w:r>
      <w:r w:rsidR="00FD76EF">
        <w:t xml:space="preserve"> </w:t>
      </w:r>
      <w:r w:rsidR="00FD76EF" w:rsidRPr="00FD76EF">
        <w:t>(Peng &amp; Liu, 2024)</w:t>
      </w:r>
      <w:r w:rsidRPr="00FD76EF">
        <w:t>.</w:t>
      </w:r>
    </w:p>
    <w:p w14:paraId="2A311266" w14:textId="658B5813" w:rsidR="00B9537D" w:rsidRPr="00FD76EF" w:rsidRDefault="00B9537D" w:rsidP="00B9537D">
      <w:pPr>
        <w:spacing w:line="480" w:lineRule="auto"/>
      </w:pPr>
      <w:r w:rsidRPr="00FD76EF">
        <w:tab/>
      </w:r>
      <w:r w:rsidR="00AF5A15" w:rsidRPr="00FD76EF">
        <w:t xml:space="preserve">However, on the other hand, </w:t>
      </w:r>
      <w:r w:rsidR="00FD76EF" w:rsidRPr="00FD76EF">
        <w:t>cyber</w:t>
      </w:r>
      <w:r w:rsidRPr="00FD76EF">
        <w:t xml:space="preserve"> breaches </w:t>
      </w:r>
      <w:r w:rsidR="00AF5A15" w:rsidRPr="00FD76EF">
        <w:t xml:space="preserve">which </w:t>
      </w:r>
      <w:r w:rsidRPr="00FD76EF">
        <w:t xml:space="preserve">increasingly translate into financial events: they disrupt revenue operations, inflate opex, complicate estimates, and generate disclosure obligations. </w:t>
      </w:r>
      <w:r w:rsidR="00AF5A15" w:rsidRPr="00FD76EF">
        <w:t>In accordance with the o</w:t>
      </w:r>
      <w:r w:rsidRPr="00FD76EF">
        <w:t>rganizations that integrate non</w:t>
      </w:r>
      <w:r w:rsidRPr="00FD76EF">
        <w:noBreakHyphen/>
        <w:t>accounting professionals into finance</w:t>
      </w:r>
      <w:r w:rsidRPr="00FD76EF">
        <w:noBreakHyphen/>
        <w:t>centric governance—linking technical controls, vendor management, training, continuity, and disclosure—reduce breach costs, shorten recovery time, and protect the credibility of financial reporting</w:t>
      </w:r>
      <w:r w:rsidR="00FD76EF">
        <w:t xml:space="preserve"> </w:t>
      </w:r>
      <w:r w:rsidR="00FD76EF" w:rsidRPr="00FD76EF">
        <w:t>(Peng &amp; Liu, 2024)</w:t>
      </w:r>
      <w:r w:rsidRPr="00FD76EF">
        <w:t>.</w:t>
      </w:r>
    </w:p>
    <w:bookmarkEnd w:id="0"/>
    <w:p w14:paraId="7F79F8D8" w14:textId="7A4FC14F" w:rsidR="000455F6" w:rsidRDefault="000455F6" w:rsidP="00C42A69">
      <w:pPr>
        <w:spacing w:line="480" w:lineRule="auto"/>
        <w:jc w:val="center"/>
        <w:rPr>
          <w:b/>
          <w:color w:val="000000"/>
        </w:rPr>
      </w:pPr>
      <w:r w:rsidRPr="007E1727">
        <w:rPr>
          <w:b/>
          <w:color w:val="000000"/>
        </w:rPr>
        <w:t>Conclusion</w:t>
      </w:r>
    </w:p>
    <w:p w14:paraId="70D66A8F" w14:textId="19325725" w:rsidR="00B4056C" w:rsidRPr="00B4056C" w:rsidRDefault="00B9537D" w:rsidP="00B4056C">
      <w:pPr>
        <w:spacing w:line="480" w:lineRule="auto"/>
        <w:rPr>
          <w:bCs/>
          <w:color w:val="000000"/>
        </w:rPr>
      </w:pPr>
      <w:r w:rsidRPr="00B4056C">
        <w:rPr>
          <w:bCs/>
          <w:color w:val="000000"/>
        </w:rPr>
        <w:tab/>
      </w:r>
      <w:r w:rsidR="00AF5A15">
        <w:rPr>
          <w:bCs/>
          <w:color w:val="000000"/>
        </w:rPr>
        <w:t xml:space="preserve">According to the above analysis which tends to conclude that </w:t>
      </w:r>
      <w:r w:rsidR="00B4056C" w:rsidRPr="00B4056C">
        <w:rPr>
          <w:bCs/>
          <w:color w:val="000000"/>
        </w:rPr>
        <w:t xml:space="preserve">convergence of artificial intelligence, big data analytics, and robust cybersecurity practices is redefining the accounting and finance landscape. </w:t>
      </w:r>
      <w:r w:rsidR="00AF5A15">
        <w:rPr>
          <w:bCs/>
          <w:color w:val="000000"/>
        </w:rPr>
        <w:t xml:space="preserve">It </w:t>
      </w:r>
      <w:r w:rsidR="00FD76EF">
        <w:rPr>
          <w:bCs/>
          <w:color w:val="000000"/>
        </w:rPr>
        <w:t>also tends</w:t>
      </w:r>
      <w:r w:rsidR="00AF5A15">
        <w:rPr>
          <w:bCs/>
          <w:color w:val="000000"/>
        </w:rPr>
        <w:t xml:space="preserve"> to </w:t>
      </w:r>
      <w:r w:rsidR="00FD76EF">
        <w:rPr>
          <w:bCs/>
          <w:color w:val="000000"/>
        </w:rPr>
        <w:t>suggest</w:t>
      </w:r>
      <w:r w:rsidR="00AF5A15">
        <w:rPr>
          <w:bCs/>
          <w:color w:val="000000"/>
        </w:rPr>
        <w:t xml:space="preserve"> that </w:t>
      </w:r>
      <w:r w:rsidR="00B4056C" w:rsidRPr="00B4056C">
        <w:rPr>
          <w:bCs/>
          <w:color w:val="000000"/>
        </w:rPr>
        <w:t xml:space="preserve">AI streamlines </w:t>
      </w:r>
      <w:r w:rsidR="00FD76EF" w:rsidRPr="00B4056C">
        <w:rPr>
          <w:bCs/>
          <w:color w:val="000000"/>
        </w:rPr>
        <w:t>process</w:t>
      </w:r>
      <w:r w:rsidR="00B4056C" w:rsidRPr="00B4056C">
        <w:rPr>
          <w:bCs/>
          <w:color w:val="000000"/>
        </w:rPr>
        <w:t xml:space="preserve"> and expands strategic capabilities, big data enhances the accuracy and agility of financial forecasting, and cybersecurity safeguards the integrity of sensitive financial information. </w:t>
      </w:r>
      <w:r w:rsidR="00AF5A15">
        <w:rPr>
          <w:bCs/>
          <w:color w:val="000000"/>
        </w:rPr>
        <w:t>On the basis of that the o</w:t>
      </w:r>
      <w:r w:rsidR="00B4056C" w:rsidRPr="00B4056C">
        <w:rPr>
          <w:bCs/>
          <w:color w:val="000000"/>
        </w:rPr>
        <w:t xml:space="preserve">rganizations that integrate these capabilities through effective governance, cross-functional collaboration, and continuous skill development will not only strengthen operational resilience </w:t>
      </w:r>
      <w:r w:rsidR="00B4056C" w:rsidRPr="00B4056C">
        <w:rPr>
          <w:bCs/>
          <w:color w:val="000000"/>
        </w:rPr>
        <w:lastRenderedPageBreak/>
        <w:t>but also create lasting competitive advantage in an increasingly data-driven, digitally connected economy.</w:t>
      </w:r>
    </w:p>
    <w:p w14:paraId="78FA0FE1" w14:textId="6CC2EF7A" w:rsidR="00B9537D" w:rsidRPr="007E1727" w:rsidRDefault="00B9537D" w:rsidP="00B9537D">
      <w:pPr>
        <w:spacing w:line="480" w:lineRule="auto"/>
        <w:rPr>
          <w:b/>
          <w:color w:val="000000"/>
        </w:rPr>
      </w:pPr>
    </w:p>
    <w:bookmarkEnd w:id="1"/>
    <w:p w14:paraId="5FC249A1" w14:textId="77777777" w:rsidR="000455F6" w:rsidRPr="007E1727" w:rsidRDefault="000455F6" w:rsidP="00C42A69">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color w:val="000000"/>
        </w:rPr>
        <w:br w:type="page"/>
      </w:r>
      <w:r w:rsidRPr="007E1727">
        <w:rPr>
          <w:b/>
          <w:color w:val="000000"/>
        </w:rPr>
        <w:lastRenderedPageBreak/>
        <w:t>References</w:t>
      </w:r>
    </w:p>
    <w:p w14:paraId="6B6BF9C7" w14:textId="2A924FCD" w:rsidR="00326F04" w:rsidRDefault="00326F04" w:rsidP="00326F04">
      <w:pPr>
        <w:spacing w:line="480" w:lineRule="auto"/>
        <w:ind w:left="1077" w:hanging="720"/>
      </w:pPr>
      <w:r w:rsidRPr="00326F04">
        <w:rPr>
          <w:color w:val="000000" w:themeColor="text1"/>
        </w:rPr>
        <w:t xml:space="preserve">Alahmadi, M. (2024). Optimizing data quality for sustainable development: An integration of green finance with financial market regulations. Sustainability, 16(23), 10418. </w:t>
      </w:r>
      <w:hyperlink r:id="rId7" w:history="1">
        <w:r w:rsidRPr="000F712F">
          <w:rPr>
            <w:rStyle w:val="Hyperlink"/>
          </w:rPr>
          <w:t>https://doi.org/10.3390/su162310418</w:t>
        </w:r>
      </w:hyperlink>
    </w:p>
    <w:p w14:paraId="433428A6" w14:textId="77777777" w:rsidR="000772F9" w:rsidRDefault="000772F9" w:rsidP="000772F9">
      <w:pPr>
        <w:spacing w:line="480" w:lineRule="auto"/>
        <w:ind w:left="1077" w:hanging="720"/>
        <w:rPr>
          <w:color w:val="000000" w:themeColor="text1"/>
        </w:rPr>
      </w:pPr>
      <w:r w:rsidRPr="000772F9">
        <w:rPr>
          <w:color w:val="000000" w:themeColor="text1"/>
        </w:rPr>
        <w:t xml:space="preserve">Adeola Olusola Ajayi-Nifise, Olubusola Odeyemi, Noluthando Zamanjomane Mhlongo, Ibeh, V., Oluwafunmi Adijat Elufioye, &amp; Kehinde Feranmi Awonuga. (2023). The future of accounting: Predictions on automation and AI integration. </w:t>
      </w:r>
      <w:r w:rsidRPr="000772F9">
        <w:rPr>
          <w:i/>
          <w:iCs/>
          <w:color w:val="000000" w:themeColor="text1"/>
        </w:rPr>
        <w:t>World Journal of Advanced Research and Reviews</w:t>
      </w:r>
      <w:r w:rsidRPr="000772F9">
        <w:rPr>
          <w:color w:val="000000" w:themeColor="text1"/>
        </w:rPr>
        <w:t xml:space="preserve">, </w:t>
      </w:r>
      <w:r w:rsidRPr="000772F9">
        <w:rPr>
          <w:i/>
          <w:iCs/>
          <w:color w:val="000000" w:themeColor="text1"/>
        </w:rPr>
        <w:t>21</w:t>
      </w:r>
      <w:r w:rsidRPr="000772F9">
        <w:rPr>
          <w:color w:val="000000" w:themeColor="text1"/>
        </w:rPr>
        <w:t xml:space="preserve">(2), 399–407. </w:t>
      </w:r>
      <w:hyperlink r:id="rId8" w:history="1">
        <w:r w:rsidRPr="000772F9">
          <w:rPr>
            <w:rStyle w:val="Hyperlink"/>
          </w:rPr>
          <w:t>https://doi.org/10.30574/wjarr.2024.21.2.0466</w:t>
        </w:r>
      </w:hyperlink>
    </w:p>
    <w:p w14:paraId="6A6110FE" w14:textId="552BB463" w:rsidR="000772F9" w:rsidRDefault="000772F9" w:rsidP="000772F9">
      <w:pPr>
        <w:spacing w:line="480" w:lineRule="auto"/>
        <w:ind w:left="1077" w:hanging="720"/>
        <w:rPr>
          <w:color w:val="000000" w:themeColor="text1"/>
        </w:rPr>
      </w:pPr>
      <w:r w:rsidRPr="000772F9">
        <w:rPr>
          <w:color w:val="000000" w:themeColor="text1"/>
        </w:rPr>
        <w:t xml:space="preserve">Sahar Elnakeeb, &amp; Elawadly, H. (2025). Automation and artificial intelligence in accounting: a comprehensive bibliometric analysis and future trends. </w:t>
      </w:r>
      <w:r w:rsidRPr="000772F9">
        <w:rPr>
          <w:i/>
          <w:iCs/>
          <w:color w:val="000000" w:themeColor="text1"/>
        </w:rPr>
        <w:t>Journal of Financial Reporting &amp; Accounting</w:t>
      </w:r>
      <w:r w:rsidRPr="000772F9">
        <w:rPr>
          <w:color w:val="000000" w:themeColor="text1"/>
        </w:rPr>
        <w:t xml:space="preserve">. </w:t>
      </w:r>
      <w:hyperlink r:id="rId9" w:history="1">
        <w:r w:rsidRPr="000772F9">
          <w:rPr>
            <w:rStyle w:val="Hyperlink"/>
          </w:rPr>
          <w:t>https://doi.org/10.1108/jfra-09-2024-0639</w:t>
        </w:r>
      </w:hyperlink>
    </w:p>
    <w:p w14:paraId="48A3C53F" w14:textId="1F2C6828" w:rsidR="002A475F" w:rsidRDefault="002A475F" w:rsidP="002A475F">
      <w:pPr>
        <w:spacing w:line="480" w:lineRule="auto"/>
        <w:ind w:left="1077" w:hanging="720"/>
        <w:rPr>
          <w:color w:val="000000" w:themeColor="text1"/>
        </w:rPr>
      </w:pPr>
      <w:r w:rsidRPr="002A475F">
        <w:rPr>
          <w:color w:val="000000" w:themeColor="text1"/>
        </w:rPr>
        <w:t xml:space="preserve">Kuaiber, M. Q., Ali, Z. N., Al-Yasiri, A. J., Kareem, A. J., Al, M. A., &amp; Almagtome, A. (2024). Automation and the Future of Accounting: A Study of AI Integration in Financial Reporting. </w:t>
      </w:r>
      <w:r w:rsidRPr="002A475F">
        <w:rPr>
          <w:i/>
          <w:iCs/>
          <w:color w:val="000000" w:themeColor="text1"/>
        </w:rPr>
        <w:t>2024 International Conference on Knowledge Engineering and Communication Systems (ICKECS)</w:t>
      </w:r>
      <w:r w:rsidRPr="002A475F">
        <w:rPr>
          <w:color w:val="000000" w:themeColor="text1"/>
        </w:rPr>
        <w:t xml:space="preserve">, </w:t>
      </w:r>
      <w:r w:rsidRPr="002A475F">
        <w:rPr>
          <w:i/>
          <w:iCs/>
          <w:color w:val="000000" w:themeColor="text1"/>
        </w:rPr>
        <w:t>30</w:t>
      </w:r>
      <w:r w:rsidRPr="002A475F">
        <w:rPr>
          <w:color w:val="000000" w:themeColor="text1"/>
        </w:rPr>
        <w:t xml:space="preserve">, 1–6. </w:t>
      </w:r>
      <w:hyperlink r:id="rId10" w:history="1">
        <w:r w:rsidRPr="002A475F">
          <w:rPr>
            <w:rStyle w:val="Hyperlink"/>
          </w:rPr>
          <w:t>https://doi.org/10.1109/ickecs61492.2024.10616967</w:t>
        </w:r>
      </w:hyperlink>
    </w:p>
    <w:p w14:paraId="08DB4B5B" w14:textId="11321030" w:rsidR="00326F04" w:rsidRDefault="00326F04" w:rsidP="002A475F">
      <w:pPr>
        <w:spacing w:line="480" w:lineRule="auto"/>
        <w:ind w:left="1077" w:hanging="720"/>
        <w:rPr>
          <w:color w:val="000000" w:themeColor="text1"/>
        </w:rPr>
      </w:pPr>
      <w:r w:rsidRPr="00326F04">
        <w:rPr>
          <w:color w:val="000000" w:themeColor="text1"/>
        </w:rPr>
        <w:t xml:space="preserve">Peng, G., &amp; Liu, F. (2024). Digital inclusive finance and the resilience of households involved in financial markets. Finance Research Letters, 69, 106288. </w:t>
      </w:r>
      <w:hyperlink r:id="rId11" w:history="1">
        <w:r w:rsidRPr="000F712F">
          <w:rPr>
            <w:rStyle w:val="Hyperlink"/>
          </w:rPr>
          <w:t>https://doi.org/10.1016/j.frl.2024.106288</w:t>
        </w:r>
      </w:hyperlink>
    </w:p>
    <w:p w14:paraId="77F62423" w14:textId="1C3DC5D5" w:rsidR="00326F04" w:rsidRPr="00326F04" w:rsidRDefault="00326F04" w:rsidP="00326F04">
      <w:pPr>
        <w:spacing w:line="480" w:lineRule="auto"/>
        <w:ind w:left="1077" w:hanging="720"/>
        <w:rPr>
          <w:color w:val="000000" w:themeColor="text1"/>
        </w:rPr>
      </w:pPr>
      <w:r w:rsidRPr="00A01932">
        <w:rPr>
          <w:color w:val="000000" w:themeColor="text1"/>
        </w:rPr>
        <w:t>Yang, L., Nguyen, T. T. B., &amp; Young, W. (2024). Performance and board diversity: A practical AI perspective.</w:t>
      </w:r>
      <w:r w:rsidRPr="00A01932">
        <w:rPr>
          <w:i/>
          <w:iCs/>
          <w:color w:val="000000" w:themeColor="text1"/>
        </w:rPr>
        <w:t> Big Data and Cognitive Computing, 8</w:t>
      </w:r>
      <w:r w:rsidRPr="00A01932">
        <w:rPr>
          <w:color w:val="000000" w:themeColor="text1"/>
        </w:rPr>
        <w:t>(9), 106. </w:t>
      </w:r>
      <w:hyperlink r:id="rId12" w:tgtFrame="_blank" w:history="1">
        <w:r w:rsidRPr="00A01932">
          <w:rPr>
            <w:rStyle w:val="Hyperlink"/>
          </w:rPr>
          <w:t>https://doi.org/10.3390/bdcc8090106</w:t>
        </w:r>
      </w:hyperlink>
    </w:p>
    <w:p w14:paraId="0B22E07A" w14:textId="5222C74A" w:rsidR="00A01932" w:rsidRDefault="00326F04" w:rsidP="00326F04">
      <w:pPr>
        <w:spacing w:line="480" w:lineRule="auto"/>
        <w:ind w:left="1077" w:hanging="720"/>
        <w:rPr>
          <w:color w:val="000000" w:themeColor="text1"/>
        </w:rPr>
      </w:pPr>
      <w:r w:rsidRPr="00326F04">
        <w:rPr>
          <w:color w:val="000000" w:themeColor="text1"/>
        </w:rPr>
        <w:lastRenderedPageBreak/>
        <w:t xml:space="preserve">Zhang, Z., Lu, J., &amp; Wang, Q. (2025). The financial impact of human resources configuration: A quantitative analysis based on modified single candidate optimizer. Egyptian Informatics Journal, 29, 100584. </w:t>
      </w:r>
      <w:hyperlink r:id="rId13" w:history="1">
        <w:r w:rsidRPr="000F712F">
          <w:rPr>
            <w:rStyle w:val="Hyperlink"/>
          </w:rPr>
          <w:t>https://doi.org/10.1016/j.eij.2024.100584</w:t>
        </w:r>
      </w:hyperlink>
    </w:p>
    <w:p w14:paraId="3550150D" w14:textId="77777777" w:rsidR="00326F04" w:rsidRPr="00326F04" w:rsidRDefault="00326F04" w:rsidP="00326F04">
      <w:pPr>
        <w:spacing w:line="480" w:lineRule="auto"/>
        <w:ind w:left="1077" w:hanging="720"/>
        <w:rPr>
          <w:color w:val="000000" w:themeColor="text1"/>
        </w:rPr>
      </w:pPr>
    </w:p>
    <w:p w14:paraId="28171744" w14:textId="168C5F23" w:rsidR="000455F6" w:rsidRPr="007E1727" w:rsidRDefault="000455F6" w:rsidP="00C42A69">
      <w:pPr>
        <w:spacing w:line="480" w:lineRule="auto"/>
        <w:rPr>
          <w:color w:val="000000"/>
        </w:rPr>
      </w:pPr>
    </w:p>
    <w:p w14:paraId="18E46060" w14:textId="77777777" w:rsidR="000455F6" w:rsidRPr="007E1727" w:rsidRDefault="000455F6" w:rsidP="00C42A69">
      <w:pPr>
        <w:spacing w:line="480" w:lineRule="auto"/>
        <w:rPr>
          <w:color w:val="000000"/>
        </w:rPr>
      </w:pPr>
    </w:p>
    <w:p w14:paraId="0C520018" w14:textId="77777777" w:rsidR="00A42F13" w:rsidRPr="007E1727" w:rsidRDefault="00A42F13" w:rsidP="00C42A69">
      <w:pPr>
        <w:spacing w:line="480" w:lineRule="auto"/>
        <w:jc w:val="center"/>
        <w:rPr>
          <w:color w:val="000000"/>
        </w:rPr>
      </w:pPr>
    </w:p>
    <w:sectPr w:rsidR="00A42F13" w:rsidRPr="007E1727" w:rsidSect="002830B3">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C666" w14:textId="77777777" w:rsidR="00BD03FE" w:rsidRDefault="00BD03FE">
      <w:r>
        <w:separator/>
      </w:r>
    </w:p>
  </w:endnote>
  <w:endnote w:type="continuationSeparator" w:id="0">
    <w:p w14:paraId="330CB07B" w14:textId="77777777" w:rsidR="00BD03FE" w:rsidRDefault="00BD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4348" w14:textId="77777777" w:rsidR="00BD03FE" w:rsidRDefault="00BD03FE">
      <w:r>
        <w:separator/>
      </w:r>
    </w:p>
  </w:footnote>
  <w:footnote w:type="continuationSeparator" w:id="0">
    <w:p w14:paraId="5485D428" w14:textId="77777777" w:rsidR="00BD03FE" w:rsidRDefault="00BD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0E2" w14:textId="77777777" w:rsidR="00653666" w:rsidRDefault="00653666" w:rsidP="00026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CDF87A" w14:textId="2DCC3FAB" w:rsidR="00653666" w:rsidRPr="00352E8D" w:rsidRDefault="0079639B" w:rsidP="003F5158">
    <w:pPr>
      <w:pStyle w:val="Header"/>
      <w:ind w:right="360"/>
      <w:rPr>
        <w:sz w:val="22"/>
        <w:szCs w:val="22"/>
      </w:rPr>
    </w:pPr>
    <w:r>
      <w:t>ACC501</w:t>
    </w:r>
    <w:r w:rsidR="00653666">
      <w:t xml:space="preserve"> </w:t>
    </w:r>
    <w:r w:rsidR="00C40037">
      <w:t>Case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B0726"/>
    <w:multiLevelType w:val="hybridMultilevel"/>
    <w:tmpl w:val="CCEA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D4747B"/>
    <w:multiLevelType w:val="hybridMultilevel"/>
    <w:tmpl w:val="9A92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2F2917"/>
    <w:multiLevelType w:val="hybridMultilevel"/>
    <w:tmpl w:val="235A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24A8D6E">
      <w:numFmt w:val="bullet"/>
      <w:lvlText w:val="•"/>
      <w:lvlJc w:val="left"/>
      <w:pPr>
        <w:ind w:left="2520" w:hanging="72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97ACC"/>
    <w:multiLevelType w:val="hybridMultilevel"/>
    <w:tmpl w:val="7E56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04D48"/>
    <w:multiLevelType w:val="hybridMultilevel"/>
    <w:tmpl w:val="6B7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60D51"/>
    <w:multiLevelType w:val="hybridMultilevel"/>
    <w:tmpl w:val="B63A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320368"/>
    <w:multiLevelType w:val="hybridMultilevel"/>
    <w:tmpl w:val="DC94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C31EBA"/>
    <w:multiLevelType w:val="hybridMultilevel"/>
    <w:tmpl w:val="E722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9C6B45"/>
    <w:multiLevelType w:val="multilevel"/>
    <w:tmpl w:val="1B8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453234">
    <w:abstractNumId w:val="22"/>
  </w:num>
  <w:num w:numId="2" w16cid:durableId="1120807250">
    <w:abstractNumId w:val="8"/>
  </w:num>
  <w:num w:numId="3" w16cid:durableId="1316758839">
    <w:abstractNumId w:val="19"/>
  </w:num>
  <w:num w:numId="4" w16cid:durableId="585841334">
    <w:abstractNumId w:val="33"/>
  </w:num>
  <w:num w:numId="5" w16cid:durableId="935283775">
    <w:abstractNumId w:val="1"/>
  </w:num>
  <w:num w:numId="6" w16cid:durableId="1553347218">
    <w:abstractNumId w:val="37"/>
  </w:num>
  <w:num w:numId="7" w16cid:durableId="284702284">
    <w:abstractNumId w:val="34"/>
  </w:num>
  <w:num w:numId="8" w16cid:durableId="526450868">
    <w:abstractNumId w:val="14"/>
  </w:num>
  <w:num w:numId="9" w16cid:durableId="758646836">
    <w:abstractNumId w:val="2"/>
  </w:num>
  <w:num w:numId="10" w16cid:durableId="617224895">
    <w:abstractNumId w:val="23"/>
  </w:num>
  <w:num w:numId="11" w16cid:durableId="889733543">
    <w:abstractNumId w:val="4"/>
  </w:num>
  <w:num w:numId="12" w16cid:durableId="1952976182">
    <w:abstractNumId w:val="35"/>
  </w:num>
  <w:num w:numId="13" w16cid:durableId="1081410631">
    <w:abstractNumId w:val="36"/>
  </w:num>
  <w:num w:numId="14" w16cid:durableId="1762096235">
    <w:abstractNumId w:val="30"/>
  </w:num>
  <w:num w:numId="15" w16cid:durableId="348679622">
    <w:abstractNumId w:val="41"/>
  </w:num>
  <w:num w:numId="16" w16cid:durableId="411855123">
    <w:abstractNumId w:val="27"/>
  </w:num>
  <w:num w:numId="17" w16cid:durableId="1513911860">
    <w:abstractNumId w:val="42"/>
  </w:num>
  <w:num w:numId="18" w16cid:durableId="1600328119">
    <w:abstractNumId w:val="9"/>
  </w:num>
  <w:num w:numId="19" w16cid:durableId="1536044335">
    <w:abstractNumId w:val="7"/>
  </w:num>
  <w:num w:numId="20" w16cid:durableId="127938499">
    <w:abstractNumId w:val="15"/>
  </w:num>
  <w:num w:numId="21" w16cid:durableId="1370373366">
    <w:abstractNumId w:val="28"/>
  </w:num>
  <w:num w:numId="22" w16cid:durableId="1499155493">
    <w:abstractNumId w:val="10"/>
  </w:num>
  <w:num w:numId="23" w16cid:durableId="1982419174">
    <w:abstractNumId w:val="31"/>
  </w:num>
  <w:num w:numId="24" w16cid:durableId="1382436871">
    <w:abstractNumId w:val="3"/>
  </w:num>
  <w:num w:numId="25" w16cid:durableId="121467249">
    <w:abstractNumId w:val="39"/>
  </w:num>
  <w:num w:numId="26" w16cid:durableId="1430809192">
    <w:abstractNumId w:val="26"/>
  </w:num>
  <w:num w:numId="27" w16cid:durableId="1872183926">
    <w:abstractNumId w:val="12"/>
  </w:num>
  <w:num w:numId="28" w16cid:durableId="402945445">
    <w:abstractNumId w:val="5"/>
  </w:num>
  <w:num w:numId="29" w16cid:durableId="1280523971">
    <w:abstractNumId w:val="40"/>
  </w:num>
  <w:num w:numId="30" w16cid:durableId="1285698719">
    <w:abstractNumId w:val="17"/>
  </w:num>
  <w:num w:numId="31" w16cid:durableId="640697024">
    <w:abstractNumId w:val="0"/>
  </w:num>
  <w:num w:numId="32" w16cid:durableId="60761756">
    <w:abstractNumId w:val="13"/>
  </w:num>
  <w:num w:numId="33" w16cid:durableId="1971284657">
    <w:abstractNumId w:val="18"/>
  </w:num>
  <w:num w:numId="34" w16cid:durableId="805585042">
    <w:abstractNumId w:val="21"/>
  </w:num>
  <w:num w:numId="35" w16cid:durableId="140002026">
    <w:abstractNumId w:val="29"/>
  </w:num>
  <w:num w:numId="36" w16cid:durableId="1383485809">
    <w:abstractNumId w:val="32"/>
  </w:num>
  <w:num w:numId="37" w16cid:durableId="52504503">
    <w:abstractNumId w:val="11"/>
  </w:num>
  <w:num w:numId="38" w16cid:durableId="188421103">
    <w:abstractNumId w:val="20"/>
  </w:num>
  <w:num w:numId="39" w16cid:durableId="2066709337">
    <w:abstractNumId w:val="25"/>
  </w:num>
  <w:num w:numId="40" w16cid:durableId="1885368783">
    <w:abstractNumId w:val="24"/>
  </w:num>
  <w:num w:numId="41" w16cid:durableId="201990191">
    <w:abstractNumId w:val="16"/>
  </w:num>
  <w:num w:numId="42" w16cid:durableId="1903787870">
    <w:abstractNumId w:val="6"/>
  </w:num>
  <w:num w:numId="43" w16cid:durableId="6494814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0MzYztzC3MDE0MDFR0lEKTi0uzszPAykwNq0FAOrMf6UtAAAA"/>
  </w:docVars>
  <w:rsids>
    <w:rsidRoot w:val="0050433C"/>
    <w:rsid w:val="00026142"/>
    <w:rsid w:val="00034325"/>
    <w:rsid w:val="0003472F"/>
    <w:rsid w:val="000455F6"/>
    <w:rsid w:val="00047143"/>
    <w:rsid w:val="000511FA"/>
    <w:rsid w:val="0006074E"/>
    <w:rsid w:val="000772F9"/>
    <w:rsid w:val="00081629"/>
    <w:rsid w:val="00085C7F"/>
    <w:rsid w:val="00096202"/>
    <w:rsid w:val="000A198A"/>
    <w:rsid w:val="000A39A9"/>
    <w:rsid w:val="000B008D"/>
    <w:rsid w:val="000B218C"/>
    <w:rsid w:val="000B6AD6"/>
    <w:rsid w:val="000C144F"/>
    <w:rsid w:val="000C1741"/>
    <w:rsid w:val="000C6AD9"/>
    <w:rsid w:val="000E0F36"/>
    <w:rsid w:val="000F1641"/>
    <w:rsid w:val="00106FDE"/>
    <w:rsid w:val="001147C1"/>
    <w:rsid w:val="00122C18"/>
    <w:rsid w:val="00131A1B"/>
    <w:rsid w:val="00132884"/>
    <w:rsid w:val="001377D4"/>
    <w:rsid w:val="0014216B"/>
    <w:rsid w:val="00147909"/>
    <w:rsid w:val="00150EEF"/>
    <w:rsid w:val="00154F49"/>
    <w:rsid w:val="00163836"/>
    <w:rsid w:val="00167D67"/>
    <w:rsid w:val="001758DE"/>
    <w:rsid w:val="00182003"/>
    <w:rsid w:val="001A55A9"/>
    <w:rsid w:val="001B6168"/>
    <w:rsid w:val="001D090F"/>
    <w:rsid w:val="001D1CD9"/>
    <w:rsid w:val="001D51E9"/>
    <w:rsid w:val="001F40F3"/>
    <w:rsid w:val="001F420F"/>
    <w:rsid w:val="0020174B"/>
    <w:rsid w:val="0020241D"/>
    <w:rsid w:val="00211094"/>
    <w:rsid w:val="0021351E"/>
    <w:rsid w:val="002439C9"/>
    <w:rsid w:val="00253713"/>
    <w:rsid w:val="00256256"/>
    <w:rsid w:val="002830B3"/>
    <w:rsid w:val="00286395"/>
    <w:rsid w:val="002A2C9F"/>
    <w:rsid w:val="002A475F"/>
    <w:rsid w:val="002B31CF"/>
    <w:rsid w:val="002B4B55"/>
    <w:rsid w:val="002B6BFA"/>
    <w:rsid w:val="002C00BE"/>
    <w:rsid w:val="002C7462"/>
    <w:rsid w:val="002D755D"/>
    <w:rsid w:val="002E6180"/>
    <w:rsid w:val="002F7DEF"/>
    <w:rsid w:val="00302BC5"/>
    <w:rsid w:val="00312827"/>
    <w:rsid w:val="00326F04"/>
    <w:rsid w:val="00352229"/>
    <w:rsid w:val="00352E8D"/>
    <w:rsid w:val="00354C36"/>
    <w:rsid w:val="00356E85"/>
    <w:rsid w:val="00361978"/>
    <w:rsid w:val="00364629"/>
    <w:rsid w:val="00364C68"/>
    <w:rsid w:val="00396265"/>
    <w:rsid w:val="003A0026"/>
    <w:rsid w:val="003A1801"/>
    <w:rsid w:val="003B7948"/>
    <w:rsid w:val="003C7F15"/>
    <w:rsid w:val="003D6821"/>
    <w:rsid w:val="003E42AB"/>
    <w:rsid w:val="003E5F3A"/>
    <w:rsid w:val="003F2F65"/>
    <w:rsid w:val="003F3719"/>
    <w:rsid w:val="003F48D7"/>
    <w:rsid w:val="003F5158"/>
    <w:rsid w:val="003F62B7"/>
    <w:rsid w:val="00403444"/>
    <w:rsid w:val="00415754"/>
    <w:rsid w:val="00420274"/>
    <w:rsid w:val="00422016"/>
    <w:rsid w:val="00425A9A"/>
    <w:rsid w:val="00430195"/>
    <w:rsid w:val="00436393"/>
    <w:rsid w:val="00440095"/>
    <w:rsid w:val="0044069F"/>
    <w:rsid w:val="0044112E"/>
    <w:rsid w:val="00447E11"/>
    <w:rsid w:val="00454CAF"/>
    <w:rsid w:val="00456686"/>
    <w:rsid w:val="004578EE"/>
    <w:rsid w:val="004604B1"/>
    <w:rsid w:val="00464473"/>
    <w:rsid w:val="00466700"/>
    <w:rsid w:val="004853C2"/>
    <w:rsid w:val="00492DCE"/>
    <w:rsid w:val="0049530B"/>
    <w:rsid w:val="004A3C8E"/>
    <w:rsid w:val="004C1298"/>
    <w:rsid w:val="004C5ED0"/>
    <w:rsid w:val="00502A2F"/>
    <w:rsid w:val="005040FF"/>
    <w:rsid w:val="0050433C"/>
    <w:rsid w:val="0050489F"/>
    <w:rsid w:val="00522766"/>
    <w:rsid w:val="00527508"/>
    <w:rsid w:val="00530A67"/>
    <w:rsid w:val="0053493C"/>
    <w:rsid w:val="005412E4"/>
    <w:rsid w:val="005511A8"/>
    <w:rsid w:val="0055467F"/>
    <w:rsid w:val="00561A56"/>
    <w:rsid w:val="00565081"/>
    <w:rsid w:val="0057635E"/>
    <w:rsid w:val="00581CE2"/>
    <w:rsid w:val="00595B65"/>
    <w:rsid w:val="005A555C"/>
    <w:rsid w:val="005C4B3D"/>
    <w:rsid w:val="005E5214"/>
    <w:rsid w:val="005E5984"/>
    <w:rsid w:val="005E6A54"/>
    <w:rsid w:val="005F2027"/>
    <w:rsid w:val="005F3678"/>
    <w:rsid w:val="005F38A7"/>
    <w:rsid w:val="005F75ED"/>
    <w:rsid w:val="0060394A"/>
    <w:rsid w:val="0061067D"/>
    <w:rsid w:val="006124DB"/>
    <w:rsid w:val="00614C45"/>
    <w:rsid w:val="00625523"/>
    <w:rsid w:val="006416F4"/>
    <w:rsid w:val="006431F1"/>
    <w:rsid w:val="00653666"/>
    <w:rsid w:val="00656206"/>
    <w:rsid w:val="00660724"/>
    <w:rsid w:val="006624AB"/>
    <w:rsid w:val="00671116"/>
    <w:rsid w:val="00672D33"/>
    <w:rsid w:val="006730B0"/>
    <w:rsid w:val="00674A8C"/>
    <w:rsid w:val="006A5C5E"/>
    <w:rsid w:val="006B25B5"/>
    <w:rsid w:val="006E1EF5"/>
    <w:rsid w:val="006F527A"/>
    <w:rsid w:val="0070200D"/>
    <w:rsid w:val="00711DC4"/>
    <w:rsid w:val="0075015A"/>
    <w:rsid w:val="007572B6"/>
    <w:rsid w:val="00781DB4"/>
    <w:rsid w:val="0079639B"/>
    <w:rsid w:val="007A1B1F"/>
    <w:rsid w:val="007D1376"/>
    <w:rsid w:val="007E1727"/>
    <w:rsid w:val="007F79BB"/>
    <w:rsid w:val="008026AA"/>
    <w:rsid w:val="0081017D"/>
    <w:rsid w:val="00824636"/>
    <w:rsid w:val="008255DE"/>
    <w:rsid w:val="00841A9E"/>
    <w:rsid w:val="00841F4A"/>
    <w:rsid w:val="00844EE7"/>
    <w:rsid w:val="00854C46"/>
    <w:rsid w:val="00873554"/>
    <w:rsid w:val="00880C08"/>
    <w:rsid w:val="00883AAD"/>
    <w:rsid w:val="00896609"/>
    <w:rsid w:val="008A084D"/>
    <w:rsid w:val="008B7F59"/>
    <w:rsid w:val="008C7966"/>
    <w:rsid w:val="008D23AA"/>
    <w:rsid w:val="008D2859"/>
    <w:rsid w:val="008D3F0D"/>
    <w:rsid w:val="008D5C02"/>
    <w:rsid w:val="008E469D"/>
    <w:rsid w:val="008F74C4"/>
    <w:rsid w:val="009007D4"/>
    <w:rsid w:val="0091254D"/>
    <w:rsid w:val="009247A1"/>
    <w:rsid w:val="0094570E"/>
    <w:rsid w:val="00954A41"/>
    <w:rsid w:val="00960B22"/>
    <w:rsid w:val="00962E65"/>
    <w:rsid w:val="009632A1"/>
    <w:rsid w:val="00964FF8"/>
    <w:rsid w:val="009749F9"/>
    <w:rsid w:val="009758CD"/>
    <w:rsid w:val="00977C3F"/>
    <w:rsid w:val="00990C99"/>
    <w:rsid w:val="00991A50"/>
    <w:rsid w:val="009A3DEA"/>
    <w:rsid w:val="009B48D2"/>
    <w:rsid w:val="009B6C8F"/>
    <w:rsid w:val="009C36FD"/>
    <w:rsid w:val="009C743D"/>
    <w:rsid w:val="009D375B"/>
    <w:rsid w:val="009D378A"/>
    <w:rsid w:val="009E228A"/>
    <w:rsid w:val="00A00884"/>
    <w:rsid w:val="00A00D2C"/>
    <w:rsid w:val="00A01932"/>
    <w:rsid w:val="00A037C7"/>
    <w:rsid w:val="00A13576"/>
    <w:rsid w:val="00A142C3"/>
    <w:rsid w:val="00A1437D"/>
    <w:rsid w:val="00A225DF"/>
    <w:rsid w:val="00A27F42"/>
    <w:rsid w:val="00A37498"/>
    <w:rsid w:val="00A426A5"/>
    <w:rsid w:val="00A42F13"/>
    <w:rsid w:val="00A4532E"/>
    <w:rsid w:val="00A47689"/>
    <w:rsid w:val="00A6361F"/>
    <w:rsid w:val="00A725AF"/>
    <w:rsid w:val="00A75CFC"/>
    <w:rsid w:val="00A93CC1"/>
    <w:rsid w:val="00A95E3A"/>
    <w:rsid w:val="00AA3F20"/>
    <w:rsid w:val="00AB3DAE"/>
    <w:rsid w:val="00AC1008"/>
    <w:rsid w:val="00AD4FAC"/>
    <w:rsid w:val="00AE1D46"/>
    <w:rsid w:val="00AE3507"/>
    <w:rsid w:val="00AF5A15"/>
    <w:rsid w:val="00B02092"/>
    <w:rsid w:val="00B02A05"/>
    <w:rsid w:val="00B02DD7"/>
    <w:rsid w:val="00B042E8"/>
    <w:rsid w:val="00B068A8"/>
    <w:rsid w:val="00B10C07"/>
    <w:rsid w:val="00B224B6"/>
    <w:rsid w:val="00B22E3F"/>
    <w:rsid w:val="00B32F73"/>
    <w:rsid w:val="00B342B1"/>
    <w:rsid w:val="00B36877"/>
    <w:rsid w:val="00B37F5A"/>
    <w:rsid w:val="00B4056C"/>
    <w:rsid w:val="00B4235C"/>
    <w:rsid w:val="00B46191"/>
    <w:rsid w:val="00B46D48"/>
    <w:rsid w:val="00B6023E"/>
    <w:rsid w:val="00B6034C"/>
    <w:rsid w:val="00B62A78"/>
    <w:rsid w:val="00B742AF"/>
    <w:rsid w:val="00B80515"/>
    <w:rsid w:val="00B8112C"/>
    <w:rsid w:val="00B87775"/>
    <w:rsid w:val="00B93D96"/>
    <w:rsid w:val="00B9537D"/>
    <w:rsid w:val="00BA21C5"/>
    <w:rsid w:val="00BC1686"/>
    <w:rsid w:val="00BD03FE"/>
    <w:rsid w:val="00BD1C8D"/>
    <w:rsid w:val="00BD3733"/>
    <w:rsid w:val="00BD6FF4"/>
    <w:rsid w:val="00BE410C"/>
    <w:rsid w:val="00BF0F1B"/>
    <w:rsid w:val="00BF7C6E"/>
    <w:rsid w:val="00C004E5"/>
    <w:rsid w:val="00C11838"/>
    <w:rsid w:val="00C16DDC"/>
    <w:rsid w:val="00C170A7"/>
    <w:rsid w:val="00C21C1C"/>
    <w:rsid w:val="00C22265"/>
    <w:rsid w:val="00C270FF"/>
    <w:rsid w:val="00C277CE"/>
    <w:rsid w:val="00C31727"/>
    <w:rsid w:val="00C40037"/>
    <w:rsid w:val="00C42A69"/>
    <w:rsid w:val="00C51C2A"/>
    <w:rsid w:val="00C5533D"/>
    <w:rsid w:val="00C74F8E"/>
    <w:rsid w:val="00C769CD"/>
    <w:rsid w:val="00C863E2"/>
    <w:rsid w:val="00C9472F"/>
    <w:rsid w:val="00CA791D"/>
    <w:rsid w:val="00CC057E"/>
    <w:rsid w:val="00CC3628"/>
    <w:rsid w:val="00CD2528"/>
    <w:rsid w:val="00CE2E66"/>
    <w:rsid w:val="00CF070A"/>
    <w:rsid w:val="00CF088C"/>
    <w:rsid w:val="00D0108C"/>
    <w:rsid w:val="00D13AC0"/>
    <w:rsid w:val="00D172FE"/>
    <w:rsid w:val="00D200BF"/>
    <w:rsid w:val="00D47CA9"/>
    <w:rsid w:val="00D57D30"/>
    <w:rsid w:val="00D6768F"/>
    <w:rsid w:val="00D7332A"/>
    <w:rsid w:val="00D844B2"/>
    <w:rsid w:val="00D87258"/>
    <w:rsid w:val="00D96DDF"/>
    <w:rsid w:val="00DA0017"/>
    <w:rsid w:val="00DA07CA"/>
    <w:rsid w:val="00DB099B"/>
    <w:rsid w:val="00DB7248"/>
    <w:rsid w:val="00DD0C4D"/>
    <w:rsid w:val="00DE1A4A"/>
    <w:rsid w:val="00DE3706"/>
    <w:rsid w:val="00DE5909"/>
    <w:rsid w:val="00DE7652"/>
    <w:rsid w:val="00DF5ED9"/>
    <w:rsid w:val="00E026E0"/>
    <w:rsid w:val="00E046B3"/>
    <w:rsid w:val="00E062B8"/>
    <w:rsid w:val="00E347E9"/>
    <w:rsid w:val="00E40301"/>
    <w:rsid w:val="00E4493B"/>
    <w:rsid w:val="00E45724"/>
    <w:rsid w:val="00E45886"/>
    <w:rsid w:val="00E547D4"/>
    <w:rsid w:val="00E63F35"/>
    <w:rsid w:val="00E642BD"/>
    <w:rsid w:val="00E64AD3"/>
    <w:rsid w:val="00E65B61"/>
    <w:rsid w:val="00E75D3A"/>
    <w:rsid w:val="00E80CFF"/>
    <w:rsid w:val="00E940DC"/>
    <w:rsid w:val="00E94A62"/>
    <w:rsid w:val="00EA2646"/>
    <w:rsid w:val="00EB211C"/>
    <w:rsid w:val="00EB65C0"/>
    <w:rsid w:val="00EC03B6"/>
    <w:rsid w:val="00EC493C"/>
    <w:rsid w:val="00ED47C2"/>
    <w:rsid w:val="00ED6EF3"/>
    <w:rsid w:val="00ED7EAB"/>
    <w:rsid w:val="00EE51C9"/>
    <w:rsid w:val="00EF1655"/>
    <w:rsid w:val="00EF1CB2"/>
    <w:rsid w:val="00EF57CD"/>
    <w:rsid w:val="00F10A09"/>
    <w:rsid w:val="00F20699"/>
    <w:rsid w:val="00F257CE"/>
    <w:rsid w:val="00F31B75"/>
    <w:rsid w:val="00F35BE5"/>
    <w:rsid w:val="00F378C4"/>
    <w:rsid w:val="00F4191B"/>
    <w:rsid w:val="00F43BA1"/>
    <w:rsid w:val="00F468D1"/>
    <w:rsid w:val="00F5335C"/>
    <w:rsid w:val="00F62922"/>
    <w:rsid w:val="00F64DDA"/>
    <w:rsid w:val="00F7461E"/>
    <w:rsid w:val="00F84528"/>
    <w:rsid w:val="00F8489A"/>
    <w:rsid w:val="00F84D66"/>
    <w:rsid w:val="00F93AF8"/>
    <w:rsid w:val="00F96724"/>
    <w:rsid w:val="00F96D0F"/>
    <w:rsid w:val="00F96D5C"/>
    <w:rsid w:val="00FA5606"/>
    <w:rsid w:val="00FA5A4C"/>
    <w:rsid w:val="00FA7A69"/>
    <w:rsid w:val="00FC19A0"/>
    <w:rsid w:val="00FD1EEE"/>
    <w:rsid w:val="00FD76EF"/>
    <w:rsid w:val="00FE13EC"/>
    <w:rsid w:val="00FE40F6"/>
    <w:rsid w:val="00FF19B7"/>
    <w:rsid w:val="00FF3D00"/>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0574/wjarr.2024.21.2.0466" TargetMode="External"/><Relationship Id="rId13" Type="http://schemas.openxmlformats.org/officeDocument/2006/relationships/hyperlink" Target="https://doi.org/10.1016/j.eij.2024.100584" TargetMode="External"/><Relationship Id="rId3" Type="http://schemas.openxmlformats.org/officeDocument/2006/relationships/settings" Target="settings.xml"/><Relationship Id="rId7" Type="http://schemas.openxmlformats.org/officeDocument/2006/relationships/hyperlink" Target="https://doi.org/10.3390/su162310418" TargetMode="External"/><Relationship Id="rId12" Type="http://schemas.openxmlformats.org/officeDocument/2006/relationships/hyperlink" Target="https://doi.org/10.3390/bdcc80901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rl.2024.10628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09/ickecs61492.2024.10616967" TargetMode="External"/><Relationship Id="rId4" Type="http://schemas.openxmlformats.org/officeDocument/2006/relationships/webSettings" Target="webSettings.xml"/><Relationship Id="rId9" Type="http://schemas.openxmlformats.org/officeDocument/2006/relationships/hyperlink" Target="https://doi.org/10.1108/jfra-09-2024-063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2921</Words>
  <Characters>16652</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2024-10-20T17:18:00Z</dcterms:created>
  <dcterms:modified xsi:type="dcterms:W3CDTF">2025-08-23T18:37:00Z</dcterms:modified>
</cp:coreProperties>
</file>