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2518470" w:rsidR="00B15F4E" w:rsidRDefault="00AF23D8" w:rsidP="006F2389">
      <w:pPr>
        <w:jc w:val="center"/>
        <w:rPr>
          <w:b/>
          <w:bCs/>
          <w:sz w:val="30"/>
          <w:szCs w:val="30"/>
          <w:u w:val="single"/>
        </w:rPr>
      </w:pPr>
      <w:bookmarkStart w:id="0" w:name="_pihg9jpyazyg" w:colFirst="0" w:colLast="0"/>
      <w:bookmarkEnd w:id="0"/>
      <w:r w:rsidRPr="006F2389">
        <w:rPr>
          <w:b/>
          <w:bCs/>
          <w:sz w:val="30"/>
          <w:szCs w:val="30"/>
          <w:u w:val="single"/>
        </w:rPr>
        <w:t>Discussion: Tesla Motors</w:t>
      </w:r>
    </w:p>
    <w:p w14:paraId="4C5295DA" w14:textId="77777777" w:rsidR="00AF23D8" w:rsidRPr="006F2389" w:rsidRDefault="00AF23D8" w:rsidP="006F2389">
      <w:pPr>
        <w:jc w:val="center"/>
        <w:rPr>
          <w:b/>
          <w:bCs/>
          <w:sz w:val="30"/>
          <w:szCs w:val="30"/>
          <w:u w:val="single"/>
        </w:rPr>
      </w:pPr>
    </w:p>
    <w:p w14:paraId="00000002" w14:textId="77777777" w:rsidR="00B15F4E" w:rsidRDefault="00AF23D8" w:rsidP="003C2302">
      <w:pPr>
        <w:spacing w:line="480" w:lineRule="auto"/>
        <w:jc w:val="both"/>
        <w:rPr>
          <w:rFonts w:ascii="Times New Roman" w:eastAsia="Times New Roman" w:hAnsi="Times New Roman" w:cs="Times New Roman"/>
        </w:rPr>
      </w:pPr>
      <w:r>
        <w:rPr>
          <w:rFonts w:ascii="Times New Roman" w:eastAsia="Times New Roman" w:hAnsi="Times New Roman" w:cs="Times New Roman"/>
        </w:rPr>
        <w:t>A risk/return balance is not unusual in the financial markets, and the trade-off is a phenomenon that needs to be learned when having an opportunity to invest. The premise suggests that more risk-takers will eventually be able to get better returns, and fe</w:t>
      </w:r>
      <w:r>
        <w:rPr>
          <w:rFonts w:ascii="Times New Roman" w:eastAsia="Times New Roman" w:hAnsi="Times New Roman" w:cs="Times New Roman"/>
        </w:rPr>
        <w:t>wer risk-takers will be forced to accept less. The idea is connected to the valuation mechanisms of assets, in particular, stock and bond valuation calculus that allow investors to determine whether future returns are also worth their risks. Significantly,</w:t>
      </w:r>
      <w:r>
        <w:rPr>
          <w:rFonts w:ascii="Times New Roman" w:eastAsia="Times New Roman" w:hAnsi="Times New Roman" w:cs="Times New Roman"/>
        </w:rPr>
        <w:t xml:space="preserve"> as with bonds, discounted predictable cash flows are of significant interest when the value of bonds is to be tracked, and as with stocks, such constructs as the Dividend Discount Model (DDM) attempt to value the current value of future cash flows and fut</w:t>
      </w:r>
      <w:r>
        <w:rPr>
          <w:rFonts w:ascii="Times New Roman" w:eastAsia="Times New Roman" w:hAnsi="Times New Roman" w:cs="Times New Roman"/>
        </w:rPr>
        <w:t>ure pay (</w:t>
      </w:r>
      <w:proofErr w:type="spellStart"/>
      <w:r>
        <w:rPr>
          <w:rFonts w:ascii="Times New Roman" w:eastAsia="Times New Roman" w:hAnsi="Times New Roman" w:cs="Times New Roman"/>
        </w:rPr>
        <w:t>Dahlquist</w:t>
      </w:r>
      <w:proofErr w:type="spellEnd"/>
      <w:r>
        <w:rPr>
          <w:rFonts w:ascii="Times New Roman" w:eastAsia="Times New Roman" w:hAnsi="Times New Roman" w:cs="Times New Roman"/>
        </w:rPr>
        <w:t xml:space="preserve"> and Knight, 2022).</w:t>
      </w:r>
    </w:p>
    <w:p w14:paraId="00000004" w14:textId="77777777" w:rsidR="00B15F4E" w:rsidRDefault="00AF23D8" w:rsidP="003C2302">
      <w:pPr>
        <w:spacing w:line="480" w:lineRule="auto"/>
        <w:jc w:val="both"/>
        <w:rPr>
          <w:rFonts w:ascii="Times New Roman" w:eastAsia="Times New Roman" w:hAnsi="Times New Roman" w:cs="Times New Roman"/>
        </w:rPr>
      </w:pPr>
      <w:r>
        <w:rPr>
          <w:rFonts w:ascii="Times New Roman" w:eastAsia="Times New Roman" w:hAnsi="Times New Roman" w:cs="Times New Roman"/>
        </w:rPr>
        <w:t>These models, though they provide a structure, cannot consider all the factors that lead to the prices of markets. Companies in the new market, such as technology and renewable energy companies, are highly valued than</w:t>
      </w:r>
      <w:r>
        <w:rPr>
          <w:rFonts w:ascii="Times New Roman" w:eastAsia="Times New Roman" w:hAnsi="Times New Roman" w:cs="Times New Roman"/>
        </w:rPr>
        <w:t xml:space="preserve"> they should be as per the traditional model of valuation. This is concerning investment expectations, and feeling and </w:t>
      </w:r>
      <w:proofErr w:type="spellStart"/>
      <w:r>
        <w:rPr>
          <w:rFonts w:ascii="Times New Roman" w:eastAsia="Times New Roman" w:hAnsi="Times New Roman" w:cs="Times New Roman"/>
        </w:rPr>
        <w:t>behavioural</w:t>
      </w:r>
      <w:proofErr w:type="spellEnd"/>
      <w:r>
        <w:rPr>
          <w:rFonts w:ascii="Times New Roman" w:eastAsia="Times New Roman" w:hAnsi="Times New Roman" w:cs="Times New Roman"/>
        </w:rPr>
        <w:t xml:space="preserve"> undertones are introduced into the valuation. Based on the explanation provided by Ray et al. (2021), behavioral finance will</w:t>
      </w:r>
      <w:r>
        <w:rPr>
          <w:rFonts w:ascii="Times New Roman" w:eastAsia="Times New Roman" w:hAnsi="Times New Roman" w:cs="Times New Roman"/>
        </w:rPr>
        <w:t xml:space="preserve"> factor in the psychological role and biasing tendencies that could have an impact on decision-making, which can either overvalue or devalue securities. Therefore, it does not just value numerical models but market psychology knowledge as well.</w:t>
      </w:r>
    </w:p>
    <w:p w14:paraId="00000007" w14:textId="1B8EDB6C" w:rsidR="00B15F4E" w:rsidRDefault="00AF23D8" w:rsidP="003C2302">
      <w:pPr>
        <w:spacing w:line="480" w:lineRule="auto"/>
        <w:jc w:val="both"/>
        <w:rPr>
          <w:rFonts w:ascii="Times New Roman" w:eastAsia="Times New Roman" w:hAnsi="Times New Roman" w:cs="Times New Roman"/>
        </w:rPr>
      </w:pPr>
      <w:r>
        <w:rPr>
          <w:rFonts w:ascii="Times New Roman" w:eastAsia="Times New Roman" w:hAnsi="Times New Roman" w:cs="Times New Roman"/>
        </w:rPr>
        <w:t>Ideally, i</w:t>
      </w:r>
      <w:r>
        <w:rPr>
          <w:rFonts w:ascii="Times New Roman" w:eastAsia="Times New Roman" w:hAnsi="Times New Roman" w:cs="Times New Roman"/>
        </w:rPr>
        <w:t>nvestors will have to incorporate both sides of the coin. When methodology according to which financial instruments are measured, and the background factors, such as novelty of expansion, industrial tendencies, and fluctuating conduct of the investors, can</w:t>
      </w:r>
      <w:r>
        <w:rPr>
          <w:rFonts w:ascii="Times New Roman" w:eastAsia="Times New Roman" w:hAnsi="Times New Roman" w:cs="Times New Roman"/>
        </w:rPr>
        <w:t>not be neglected, the quantitative valuation method may provide a rationale. Using the</w:t>
      </w:r>
      <w:r w:rsidR="003C2302">
        <w:rPr>
          <w:rFonts w:ascii="Times New Roman" w:eastAsia="Times New Roman" w:hAnsi="Times New Roman" w:cs="Times New Roman"/>
        </w:rPr>
        <w:t xml:space="preserve"> </w:t>
      </w:r>
      <w:r>
        <w:rPr>
          <w:rFonts w:ascii="Times New Roman" w:eastAsia="Times New Roman" w:hAnsi="Times New Roman" w:cs="Times New Roman"/>
        </w:rPr>
        <w:t xml:space="preserve">hurrah combination, the judgment seekers among the investors can evaluate adequately when a stock or a bond is reasonably priced. Such redundancy between the theory and </w:t>
      </w:r>
      <w:r>
        <w:rPr>
          <w:rFonts w:ascii="Times New Roman" w:eastAsia="Times New Roman" w:hAnsi="Times New Roman" w:cs="Times New Roman"/>
        </w:rPr>
        <w:t>behavior gives a concept of the complexity of the financial markets and how important the big picture is.</w:t>
      </w:r>
    </w:p>
    <w:p w14:paraId="00000009" w14:textId="77777777" w:rsidR="00B15F4E" w:rsidRDefault="00B15F4E">
      <w:pPr>
        <w:spacing w:line="480" w:lineRule="auto"/>
        <w:rPr>
          <w:rFonts w:ascii="Times New Roman" w:eastAsia="Times New Roman" w:hAnsi="Times New Roman" w:cs="Times New Roman"/>
        </w:rPr>
        <w:sectPr w:rsidR="00B15F4E">
          <w:pgSz w:w="12240" w:h="15840"/>
          <w:pgMar w:top="1440" w:right="1440" w:bottom="1440" w:left="1440" w:header="720" w:footer="720" w:gutter="0"/>
          <w:pgNumType w:start="1"/>
          <w:cols w:space="720"/>
        </w:sectPr>
      </w:pPr>
    </w:p>
    <w:p w14:paraId="0000000A" w14:textId="73902325" w:rsidR="00B15F4E" w:rsidRDefault="003C2302">
      <w:pPr>
        <w:pStyle w:val="Heading3"/>
        <w:keepNext w:val="0"/>
        <w:keepLines w:val="0"/>
        <w:spacing w:before="280" w:line="480" w:lineRule="auto"/>
        <w:rPr>
          <w:rFonts w:ascii="Times New Roman" w:eastAsia="Times New Roman" w:hAnsi="Times New Roman" w:cs="Times New Roman"/>
          <w:b/>
          <w:color w:val="000000"/>
          <w:sz w:val="26"/>
          <w:szCs w:val="26"/>
        </w:rPr>
      </w:pPr>
      <w:bookmarkStart w:id="1" w:name="_7mahuhczkdtm" w:colFirst="0" w:colLast="0"/>
      <w:bookmarkEnd w:id="1"/>
      <w:r>
        <w:rPr>
          <w:rFonts w:ascii="Times New Roman" w:eastAsia="Times New Roman" w:hAnsi="Times New Roman" w:cs="Times New Roman"/>
          <w:b/>
          <w:color w:val="000000"/>
          <w:sz w:val="26"/>
          <w:szCs w:val="26"/>
        </w:rPr>
        <w:lastRenderedPageBreak/>
        <w:t>R</w:t>
      </w:r>
      <w:r w:rsidR="00AF23D8">
        <w:rPr>
          <w:rFonts w:ascii="Times New Roman" w:eastAsia="Times New Roman" w:hAnsi="Times New Roman" w:cs="Times New Roman"/>
          <w:b/>
          <w:color w:val="000000"/>
          <w:sz w:val="26"/>
          <w:szCs w:val="26"/>
        </w:rPr>
        <w:t>eference</w:t>
      </w:r>
    </w:p>
    <w:p w14:paraId="0000000B" w14:textId="77777777" w:rsidR="00B15F4E" w:rsidRDefault="00AF23D8">
      <w:pPr>
        <w:spacing w:before="240" w:after="240" w:line="480" w:lineRule="auto"/>
        <w:rPr>
          <w:rFonts w:ascii="Times New Roman" w:eastAsia="Times New Roman" w:hAnsi="Times New Roman" w:cs="Times New Roman"/>
          <w:color w:val="1155CC"/>
          <w:u w:val="single"/>
        </w:rPr>
      </w:pPr>
      <w:proofErr w:type="spellStart"/>
      <w:r>
        <w:rPr>
          <w:rFonts w:ascii="Times New Roman" w:eastAsia="Times New Roman" w:hAnsi="Times New Roman" w:cs="Times New Roman"/>
        </w:rPr>
        <w:t>Dahlquist</w:t>
      </w:r>
      <w:proofErr w:type="spellEnd"/>
      <w:r>
        <w:rPr>
          <w:rFonts w:ascii="Times New Roman" w:eastAsia="Times New Roman" w:hAnsi="Times New Roman" w:cs="Times New Roman"/>
        </w:rPr>
        <w:t xml:space="preserve">, J., &amp; Knight, R. (2022). </w:t>
      </w:r>
      <w:r>
        <w:rPr>
          <w:rFonts w:ascii="Times New Roman" w:eastAsia="Times New Roman" w:hAnsi="Times New Roman" w:cs="Times New Roman"/>
          <w:i/>
        </w:rPr>
        <w:t>Principles of finance</w:t>
      </w:r>
      <w:r>
        <w:rPr>
          <w:rFonts w:ascii="Times New Roman" w:eastAsia="Times New Roman" w:hAnsi="Times New Roman" w:cs="Times New Roman"/>
        </w:rPr>
        <w:t>. OpenStax.</w:t>
      </w:r>
      <w:hyperlink r:id="rId4">
        <w:r>
          <w:rPr>
            <w:rFonts w:ascii="Times New Roman" w:eastAsia="Times New Roman" w:hAnsi="Times New Roman" w:cs="Times New Roman"/>
          </w:rPr>
          <w:t xml:space="preserve"> </w:t>
        </w:r>
      </w:hyperlink>
      <w:hyperlink r:id="rId5">
        <w:r>
          <w:rPr>
            <w:rFonts w:ascii="Times New Roman" w:eastAsia="Times New Roman" w:hAnsi="Times New Roman" w:cs="Times New Roman"/>
            <w:color w:val="1155CC"/>
            <w:u w:val="single"/>
          </w:rPr>
          <w:t>https://openstax.org/books/principles-finance/pages/1-why-it-matters</w:t>
        </w:r>
      </w:hyperlink>
    </w:p>
    <w:p w14:paraId="0000000C" w14:textId="77777777" w:rsidR="00B15F4E" w:rsidRDefault="00AF23D8">
      <w:pPr>
        <w:spacing w:before="240" w:after="240" w:line="480" w:lineRule="auto"/>
        <w:rPr>
          <w:rFonts w:ascii="Times New Roman" w:eastAsia="Times New Roman" w:hAnsi="Times New Roman" w:cs="Times New Roman"/>
        </w:rPr>
      </w:pPr>
      <w:r>
        <w:rPr>
          <w:rFonts w:ascii="Times New Roman" w:eastAsia="Times New Roman" w:hAnsi="Times New Roman" w:cs="Times New Roman"/>
        </w:rPr>
        <w:t xml:space="preserve">Ray, S., Brown, A., &amp; Peterson, K. (2021). </w:t>
      </w:r>
      <w:r>
        <w:rPr>
          <w:rFonts w:ascii="Times New Roman" w:eastAsia="Times New Roman" w:hAnsi="Times New Roman" w:cs="Times New Roman"/>
          <w:i/>
        </w:rPr>
        <w:t>Behavioral finance and decisi</w:t>
      </w:r>
      <w:r>
        <w:rPr>
          <w:rFonts w:ascii="Times New Roman" w:eastAsia="Times New Roman" w:hAnsi="Times New Roman" w:cs="Times New Roman"/>
          <w:i/>
        </w:rPr>
        <w:t>on-making</w:t>
      </w:r>
      <w:r>
        <w:rPr>
          <w:rFonts w:ascii="Times New Roman" w:eastAsia="Times New Roman" w:hAnsi="Times New Roman" w:cs="Times New Roman"/>
        </w:rPr>
        <w:t>. Academic Press.</w:t>
      </w:r>
    </w:p>
    <w:p w14:paraId="0000000D" w14:textId="77777777" w:rsidR="00B15F4E" w:rsidRDefault="00B15F4E">
      <w:pPr>
        <w:spacing w:line="480" w:lineRule="auto"/>
        <w:rPr>
          <w:rFonts w:ascii="Times New Roman" w:eastAsia="Times New Roman" w:hAnsi="Times New Roman" w:cs="Times New Roman"/>
        </w:rPr>
      </w:pPr>
    </w:p>
    <w:sectPr w:rsidR="00B15F4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F4E"/>
    <w:rsid w:val="003564B0"/>
    <w:rsid w:val="003C2302"/>
    <w:rsid w:val="006F2389"/>
    <w:rsid w:val="00AF23D8"/>
    <w:rsid w:val="00B15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B4CE5"/>
  <w15:docId w15:val="{C25A99E6-CD4B-4CA0-8A7F-68B3B9534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penstax.org/books/principles-finance/pages/1-why-it-matters" TargetMode="External"/><Relationship Id="rId4" Type="http://schemas.openxmlformats.org/officeDocument/2006/relationships/hyperlink" Target="https://openstax.org/books/principles-finance/pages/1-why-it-mat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388</Words>
  <Characters>2215</Characters>
  <DocSecurity>0</DocSecurity>
  <Lines>18</Lines>
  <Paragraphs>5</Paragraphs>
  <ScaleCrop>false</ScaleCrop>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2025-10-02T15:03:00Z</dcterms:created>
  <dcterms:modified xsi:type="dcterms:W3CDTF">2025-10-02T15:05:00Z</dcterms:modified>
</cp:coreProperties>
</file>