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54942" w:rsidRPr="004C0639" w:rsidRDefault="003C3A0B" w:rsidP="004C0639">
      <w:pPr>
        <w:jc w:val="center"/>
        <w:rPr>
          <w:b/>
          <w:bCs/>
          <w:sz w:val="28"/>
          <w:szCs w:val="28"/>
          <w:u w:val="single"/>
        </w:rPr>
      </w:pPr>
      <w:bookmarkStart w:id="0" w:name="_dk3es5lf6pah" w:colFirst="0" w:colLast="0"/>
      <w:bookmarkEnd w:id="0"/>
      <w:r w:rsidRPr="004C0639">
        <w:rPr>
          <w:b/>
          <w:bCs/>
          <w:sz w:val="28"/>
          <w:szCs w:val="28"/>
          <w:u w:val="single"/>
        </w:rPr>
        <w:t>Discussion: Junk Bonds</w:t>
      </w:r>
    </w:p>
    <w:p w14:paraId="3B30059B" w14:textId="77777777" w:rsidR="00662697" w:rsidRDefault="00662697">
      <w:pPr>
        <w:rPr>
          <w:rFonts w:ascii="Times New Roman" w:eastAsia="Times New Roman" w:hAnsi="Times New Roman" w:cs="Times New Roman"/>
        </w:rPr>
      </w:pPr>
    </w:p>
    <w:p w14:paraId="00000002" w14:textId="28F0DBE1" w:rsidR="00854942" w:rsidRDefault="003C3A0B" w:rsidP="00662697">
      <w:pPr>
        <w:spacing w:line="360" w:lineRule="auto"/>
        <w:jc w:val="both"/>
        <w:rPr>
          <w:rFonts w:ascii="Times New Roman" w:eastAsia="Times New Roman" w:hAnsi="Times New Roman" w:cs="Times New Roman"/>
        </w:rPr>
      </w:pPr>
      <w:r>
        <w:rPr>
          <w:rFonts w:ascii="Times New Roman" w:eastAsia="Times New Roman" w:hAnsi="Times New Roman" w:cs="Times New Roman"/>
        </w:rPr>
        <w:t>High-yield bonds (also known as junk bonds) are bonds issued by less creditworthy companies that have to pay a higher interest rate. The controversy about them is that they are paying returns that are much higher than investment-grade bonds, but the risk o</w:t>
      </w:r>
      <w:r>
        <w:rPr>
          <w:rFonts w:ascii="Times New Roman" w:eastAsia="Times New Roman" w:hAnsi="Times New Roman" w:cs="Times New Roman"/>
        </w:rPr>
        <w:t xml:space="preserve">f default is much greater. To illustrate, </w:t>
      </w: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xml:space="preserve"> et al. (2017) state that a decline in the creditworthiness of a firm increases the cost of borrowing, and one of the limited sources of financing available is to issue high-yield bonds. Although this can </w:t>
      </w:r>
      <w:r>
        <w:rPr>
          <w:rFonts w:ascii="Times New Roman" w:eastAsia="Times New Roman" w:hAnsi="Times New Roman" w:cs="Times New Roman"/>
        </w:rPr>
        <w:t>enable firms to survive, investors are faced with a dilemma of making high returns and a likelihood of losing their capital in case of default by the issuer.</w:t>
      </w:r>
    </w:p>
    <w:p w14:paraId="00000004" w14:textId="77777777" w:rsidR="00854942" w:rsidRDefault="003C3A0B" w:rsidP="00662697">
      <w:pPr>
        <w:spacing w:line="360" w:lineRule="auto"/>
        <w:jc w:val="both"/>
        <w:rPr>
          <w:rFonts w:ascii="Times New Roman" w:eastAsia="Times New Roman" w:hAnsi="Times New Roman" w:cs="Times New Roman"/>
        </w:rPr>
      </w:pPr>
      <w:r>
        <w:rPr>
          <w:rFonts w:ascii="Times New Roman" w:eastAsia="Times New Roman" w:hAnsi="Times New Roman" w:cs="Times New Roman"/>
        </w:rPr>
        <w:t>The second scandal surrounding junk bonds is their record of involvement in corporate scandals an</w:t>
      </w:r>
      <w:r>
        <w:rPr>
          <w:rFonts w:ascii="Times New Roman" w:eastAsia="Times New Roman" w:hAnsi="Times New Roman" w:cs="Times New Roman"/>
        </w:rPr>
        <w:t>d leveraged buyouts. In the 1980s, junk bonds gained a bad name as companies relied on them to finance hostile takeovers, part of which failed into bankruptcy. According to the critics, such tools should be referred to as junk due to their speculative char</w:t>
      </w:r>
      <w:r>
        <w:rPr>
          <w:rFonts w:ascii="Times New Roman" w:eastAsia="Times New Roman" w:hAnsi="Times New Roman" w:cs="Times New Roman"/>
        </w:rPr>
        <w:t xml:space="preserve">acter. Nonetheless, according to the modern portfolio theory, the increased risk of assets can be rationalized as long as they remain a part of a diversified portfolio, as the trade-off of risk and returns is one of the foundations of finance (Ray et al., </w:t>
      </w:r>
      <w:r>
        <w:rPr>
          <w:rFonts w:ascii="Times New Roman" w:eastAsia="Times New Roman" w:hAnsi="Times New Roman" w:cs="Times New Roman"/>
        </w:rPr>
        <w:t>2021). In the case of a retirement account, it is recommended that junk bonds can be added to the yield, however, in moderation.</w:t>
      </w:r>
    </w:p>
    <w:p w14:paraId="00000006" w14:textId="77777777" w:rsidR="00854942" w:rsidRDefault="003C3A0B" w:rsidP="00662697">
      <w:pPr>
        <w:spacing w:line="360" w:lineRule="auto"/>
        <w:jc w:val="both"/>
        <w:rPr>
          <w:rFonts w:ascii="Times New Roman" w:eastAsia="Times New Roman" w:hAnsi="Times New Roman" w:cs="Times New Roman"/>
        </w:rPr>
      </w:pPr>
      <w:r>
        <w:rPr>
          <w:rFonts w:ascii="Times New Roman" w:eastAsia="Times New Roman" w:hAnsi="Times New Roman" w:cs="Times New Roman"/>
        </w:rPr>
        <w:t>Personally, I believe that junk bonds can be included in a sensible investment portfolio, although only under the conditions t</w:t>
      </w:r>
      <w:r>
        <w:rPr>
          <w:rFonts w:ascii="Times New Roman" w:eastAsia="Times New Roman" w:hAnsi="Times New Roman" w:cs="Times New Roman"/>
        </w:rPr>
        <w:t xml:space="preserve">hat investors are aware of their instability. In the context of motivation in the workplace, as Herzberg (2022) notes in his coverage, the perceived benefits of the workplace are often balanced with perceived risks when making decisions. On the same note, </w:t>
      </w:r>
      <w:r>
        <w:rPr>
          <w:rFonts w:ascii="Times New Roman" w:eastAsia="Times New Roman" w:hAnsi="Times New Roman" w:cs="Times New Roman"/>
        </w:rPr>
        <w:t>the bond investors should be able to determine whether the increased interest rate is worth the increased uncertainty. They are not as solid as investment-grade bonds, but they do not necessarily warrant the purely pejorative term junk since their performa</w:t>
      </w:r>
      <w:r>
        <w:rPr>
          <w:rFonts w:ascii="Times New Roman" w:eastAsia="Times New Roman" w:hAnsi="Times New Roman" w:cs="Times New Roman"/>
        </w:rPr>
        <w:t>nce varies with the economic circumstances, as well as how they are run.</w:t>
      </w:r>
    </w:p>
    <w:p w14:paraId="00000007" w14:textId="77777777" w:rsidR="00854942" w:rsidRDefault="00854942">
      <w:pPr>
        <w:rPr>
          <w:rFonts w:ascii="Times New Roman" w:eastAsia="Times New Roman" w:hAnsi="Times New Roman" w:cs="Times New Roman"/>
        </w:rPr>
        <w:sectPr w:rsidR="00854942">
          <w:pgSz w:w="12240" w:h="15840"/>
          <w:pgMar w:top="1440" w:right="1440" w:bottom="1440" w:left="1440" w:header="720" w:footer="720" w:gutter="0"/>
          <w:pgNumType w:start="1"/>
          <w:cols w:space="720"/>
        </w:sectPr>
      </w:pPr>
    </w:p>
    <w:p w14:paraId="55B43F18" w14:textId="266CD3B8" w:rsidR="003C3A0B" w:rsidRPr="003C3A0B" w:rsidRDefault="003C3A0B" w:rsidP="003C3A0B">
      <w:pPr>
        <w:spacing w:before="240" w:after="240"/>
        <w:jc w:val="center"/>
        <w:rPr>
          <w:rFonts w:ascii="Times New Roman" w:eastAsia="Times New Roman" w:hAnsi="Times New Roman" w:cs="Times New Roman"/>
          <w:b/>
          <w:bCs/>
        </w:rPr>
      </w:pPr>
      <w:bookmarkStart w:id="1" w:name="_5jznb2htknh8" w:colFirst="0" w:colLast="0"/>
      <w:bookmarkEnd w:id="1"/>
      <w:r w:rsidRPr="003C3A0B">
        <w:rPr>
          <w:rFonts w:ascii="Times New Roman" w:eastAsia="Times New Roman" w:hAnsi="Times New Roman" w:cs="Times New Roman"/>
          <w:b/>
          <w:bCs/>
        </w:rPr>
        <w:lastRenderedPageBreak/>
        <w:t>References</w:t>
      </w:r>
    </w:p>
    <w:p w14:paraId="00000009" w14:textId="69A0B7B3" w:rsidR="00854942" w:rsidRDefault="003C3A0B">
      <w:pPr>
        <w:spacing w:before="240" w:after="240"/>
        <w:rPr>
          <w:rFonts w:ascii="Times New Roman" w:eastAsia="Times New Roman" w:hAnsi="Times New Roman" w:cs="Times New Roman"/>
        </w:rPr>
      </w:pPr>
      <w:r>
        <w:rPr>
          <w:rFonts w:ascii="Times New Roman" w:eastAsia="Times New Roman" w:hAnsi="Times New Roman" w:cs="Times New Roman"/>
        </w:rPr>
        <w:t xml:space="preserve">Herzberg, F. (2022). </w:t>
      </w:r>
      <w:r>
        <w:rPr>
          <w:rFonts w:ascii="Times New Roman" w:eastAsia="Times New Roman" w:hAnsi="Times New Roman" w:cs="Times New Roman"/>
          <w:i/>
        </w:rPr>
        <w:t>Motivation to work</w:t>
      </w:r>
      <w:r>
        <w:rPr>
          <w:rFonts w:ascii="Times New Roman" w:eastAsia="Times New Roman" w:hAnsi="Times New Roman" w:cs="Times New Roman"/>
        </w:rPr>
        <w:t>. Routledge.</w:t>
      </w:r>
    </w:p>
    <w:p w14:paraId="0000000A" w14:textId="77777777" w:rsidR="00854942" w:rsidRDefault="003C3A0B">
      <w:pPr>
        <w:spacing w:before="240" w:after="240"/>
        <w:rPr>
          <w:rFonts w:ascii="Times New Roman" w:eastAsia="Times New Roman" w:hAnsi="Times New Roman" w:cs="Times New Roman"/>
        </w:rPr>
      </w:pPr>
      <w:r>
        <w:rPr>
          <w:rFonts w:ascii="Times New Roman" w:eastAsia="Times New Roman" w:hAnsi="Times New Roman" w:cs="Times New Roman"/>
        </w:rPr>
        <w:t xml:space="preserve">Ray, S., Brown, A., &amp; Peterson, K. (2021). </w:t>
      </w:r>
      <w:r>
        <w:rPr>
          <w:rFonts w:ascii="Times New Roman" w:eastAsia="Times New Roman" w:hAnsi="Times New Roman" w:cs="Times New Roman"/>
          <w:i/>
        </w:rPr>
        <w:t>Behavioral finance and decision-making</w:t>
      </w:r>
      <w:r>
        <w:rPr>
          <w:rFonts w:ascii="Times New Roman" w:eastAsia="Times New Roman" w:hAnsi="Times New Roman" w:cs="Times New Roman"/>
        </w:rPr>
        <w:t>. Academic Press.</w:t>
      </w:r>
    </w:p>
    <w:p w14:paraId="0000000B" w14:textId="77777777" w:rsidR="00854942" w:rsidRDefault="003C3A0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P.</w:t>
      </w:r>
      <w:r>
        <w:rPr>
          <w:rFonts w:ascii="Times New Roman" w:eastAsia="Times New Roman" w:hAnsi="Times New Roman" w:cs="Times New Roman"/>
        </w:rPr>
        <w:t xml:space="preserve">, </w:t>
      </w:r>
      <w:proofErr w:type="spellStart"/>
      <w:r>
        <w:rPr>
          <w:rFonts w:ascii="Times New Roman" w:eastAsia="Times New Roman" w:hAnsi="Times New Roman" w:cs="Times New Roman"/>
        </w:rPr>
        <w:t>Quiry</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Dallocchio</w:t>
      </w:r>
      <w:proofErr w:type="spellEnd"/>
      <w:r>
        <w:rPr>
          <w:rFonts w:ascii="Times New Roman" w:eastAsia="Times New Roman" w:hAnsi="Times New Roman" w:cs="Times New Roman"/>
        </w:rPr>
        <w:t xml:space="preserve">, M., Le, F. Y., &amp; Salvi, A. (2017). </w:t>
      </w:r>
      <w:r>
        <w:rPr>
          <w:rFonts w:ascii="Times New Roman" w:eastAsia="Times New Roman" w:hAnsi="Times New Roman" w:cs="Times New Roman"/>
          <w:i/>
        </w:rPr>
        <w:t>Corporate finance: Theory and practice</w:t>
      </w:r>
      <w:r>
        <w:rPr>
          <w:rFonts w:ascii="Times New Roman" w:eastAsia="Times New Roman" w:hAnsi="Times New Roman" w:cs="Times New Roman"/>
        </w:rPr>
        <w:t xml:space="preserve"> (5th ed.). John Wiley &amp; Sons.</w:t>
      </w:r>
    </w:p>
    <w:p w14:paraId="0000000C" w14:textId="77777777" w:rsidR="00854942" w:rsidRDefault="00854942">
      <w:pPr>
        <w:rPr>
          <w:rFonts w:ascii="Times New Roman" w:eastAsia="Times New Roman" w:hAnsi="Times New Roman" w:cs="Times New Roman"/>
        </w:rPr>
      </w:pPr>
    </w:p>
    <w:sectPr w:rsidR="008549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42"/>
    <w:rsid w:val="003C3A0B"/>
    <w:rsid w:val="004C0639"/>
    <w:rsid w:val="00662697"/>
    <w:rsid w:val="0085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5B43"/>
  <w15:docId w15:val="{5FAA888C-50B2-47B4-8D07-295B163C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2025-10-02T15:10:00Z</dcterms:created>
  <dcterms:modified xsi:type="dcterms:W3CDTF">2025-10-02T15:11:00Z</dcterms:modified>
</cp:coreProperties>
</file>