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25EC" w:rsidRDefault="00EF25EC" w:rsidP="00EF25EC">
      <w:pPr>
        <w:spacing w:line="360" w:lineRule="auto"/>
        <w:jc w:val="center"/>
        <w:rPr>
          <w:rFonts w:ascii="Times New Roman" w:hAnsi="Times New Roman" w:cs="Times New Roman"/>
          <w:sz w:val="24"/>
        </w:rPr>
      </w:pPr>
    </w:p>
    <w:p w:rsidR="00EF25EC" w:rsidRDefault="00EF25EC" w:rsidP="00EF25EC">
      <w:pPr>
        <w:spacing w:line="360" w:lineRule="auto"/>
        <w:jc w:val="center"/>
        <w:rPr>
          <w:rFonts w:ascii="Times New Roman" w:hAnsi="Times New Roman" w:cs="Times New Roman"/>
          <w:sz w:val="24"/>
        </w:rPr>
      </w:pPr>
    </w:p>
    <w:p w:rsidR="00EF25EC" w:rsidRDefault="00EF25EC" w:rsidP="00EF25EC">
      <w:pPr>
        <w:spacing w:line="360" w:lineRule="auto"/>
        <w:jc w:val="center"/>
        <w:rPr>
          <w:rFonts w:ascii="Times New Roman" w:hAnsi="Times New Roman" w:cs="Times New Roman"/>
          <w:sz w:val="24"/>
        </w:rPr>
      </w:pPr>
    </w:p>
    <w:p w:rsidR="00EF25EC" w:rsidRDefault="00EF25EC" w:rsidP="00EF25EC">
      <w:pPr>
        <w:spacing w:line="360" w:lineRule="auto"/>
        <w:jc w:val="center"/>
        <w:rPr>
          <w:rFonts w:ascii="Times New Roman" w:hAnsi="Times New Roman" w:cs="Times New Roman"/>
          <w:sz w:val="24"/>
        </w:rPr>
      </w:pPr>
    </w:p>
    <w:p w:rsidR="00EF25EC" w:rsidRDefault="00EF25EC" w:rsidP="00EF25EC">
      <w:pPr>
        <w:spacing w:line="360" w:lineRule="auto"/>
        <w:jc w:val="center"/>
        <w:rPr>
          <w:rFonts w:ascii="Times New Roman" w:hAnsi="Times New Roman" w:cs="Times New Roman"/>
          <w:sz w:val="24"/>
        </w:rPr>
      </w:pPr>
    </w:p>
    <w:p w:rsidR="00E75E5B" w:rsidRPr="009040F3" w:rsidRDefault="009040F3" w:rsidP="00EF25EC">
      <w:pPr>
        <w:spacing w:line="360" w:lineRule="auto"/>
        <w:jc w:val="center"/>
        <w:rPr>
          <w:rFonts w:ascii="Times New Roman" w:hAnsi="Times New Roman" w:cs="Times New Roman"/>
          <w:sz w:val="24"/>
        </w:rPr>
      </w:pPr>
      <w:r w:rsidRPr="009040F3">
        <w:rPr>
          <w:rFonts w:ascii="Times New Roman" w:hAnsi="Times New Roman" w:cs="Times New Roman"/>
          <w:sz w:val="24"/>
        </w:rPr>
        <w:t>Assignment Name</w:t>
      </w:r>
    </w:p>
    <w:p w:rsidR="009040F3" w:rsidRPr="009040F3" w:rsidRDefault="009040F3" w:rsidP="00EF25EC">
      <w:pPr>
        <w:spacing w:line="360" w:lineRule="auto"/>
        <w:jc w:val="center"/>
        <w:rPr>
          <w:rFonts w:ascii="Times New Roman" w:hAnsi="Times New Roman" w:cs="Times New Roman"/>
          <w:sz w:val="24"/>
        </w:rPr>
      </w:pPr>
      <w:r w:rsidRPr="009040F3">
        <w:rPr>
          <w:rFonts w:ascii="Times New Roman" w:hAnsi="Times New Roman" w:cs="Times New Roman"/>
          <w:sz w:val="24"/>
        </w:rPr>
        <w:t>Student Name</w:t>
      </w:r>
    </w:p>
    <w:p w:rsidR="009040F3" w:rsidRPr="009040F3" w:rsidRDefault="009040F3" w:rsidP="00EF25EC">
      <w:pPr>
        <w:spacing w:line="360" w:lineRule="auto"/>
        <w:jc w:val="center"/>
        <w:rPr>
          <w:rFonts w:ascii="Times New Roman" w:hAnsi="Times New Roman" w:cs="Times New Roman"/>
          <w:sz w:val="24"/>
        </w:rPr>
      </w:pPr>
      <w:r w:rsidRPr="009040F3">
        <w:rPr>
          <w:rFonts w:ascii="Times New Roman" w:hAnsi="Times New Roman" w:cs="Times New Roman"/>
          <w:sz w:val="24"/>
        </w:rPr>
        <w:t>Date</w:t>
      </w:r>
    </w:p>
    <w:p w:rsidR="009040F3" w:rsidRPr="009040F3" w:rsidRDefault="009040F3" w:rsidP="009040F3">
      <w:pPr>
        <w:spacing w:line="360" w:lineRule="auto"/>
        <w:jc w:val="both"/>
        <w:rPr>
          <w:rFonts w:ascii="Times New Roman" w:hAnsi="Times New Roman" w:cs="Times New Roman"/>
          <w:sz w:val="24"/>
        </w:rPr>
      </w:pPr>
      <w:r w:rsidRPr="009040F3">
        <w:rPr>
          <w:rFonts w:ascii="Times New Roman" w:hAnsi="Times New Roman" w:cs="Times New Roman"/>
          <w:sz w:val="24"/>
        </w:rPr>
        <w:br w:type="page"/>
      </w:r>
    </w:p>
    <w:p w:rsidR="009040F3" w:rsidRPr="009040F3" w:rsidRDefault="009040F3" w:rsidP="009040F3">
      <w:pPr>
        <w:spacing w:line="360" w:lineRule="auto"/>
        <w:jc w:val="both"/>
        <w:rPr>
          <w:rFonts w:ascii="Times New Roman" w:hAnsi="Times New Roman" w:cs="Times New Roman"/>
          <w:b/>
          <w:sz w:val="24"/>
        </w:rPr>
      </w:pPr>
      <w:r w:rsidRPr="009040F3">
        <w:rPr>
          <w:rFonts w:ascii="Times New Roman" w:hAnsi="Times New Roman" w:cs="Times New Roman"/>
          <w:b/>
          <w:sz w:val="24"/>
        </w:rPr>
        <w:lastRenderedPageBreak/>
        <w:t>Question 1:</w:t>
      </w:r>
    </w:p>
    <w:p w:rsidR="009040F3" w:rsidRDefault="009040F3" w:rsidP="009040F3">
      <w:pPr>
        <w:spacing w:line="360" w:lineRule="auto"/>
        <w:jc w:val="both"/>
        <w:rPr>
          <w:rFonts w:ascii="Times New Roman" w:hAnsi="Times New Roman" w:cs="Times New Roman"/>
          <w:sz w:val="24"/>
        </w:rPr>
      </w:pPr>
      <w:r>
        <w:rPr>
          <w:noProof/>
        </w:rPr>
        <w:drawing>
          <wp:inline distT="0" distB="0" distL="0" distR="0" wp14:anchorId="5A0BB6A5" wp14:editId="0E6ACC62">
            <wp:extent cx="4297680" cy="268986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4297680" cy="2689860"/>
                    </a:xfrm>
                    <a:prstGeom prst="rect">
                      <a:avLst/>
                    </a:prstGeom>
                  </pic:spPr>
                </pic:pic>
              </a:graphicData>
            </a:graphic>
          </wp:inline>
        </w:drawing>
      </w:r>
    </w:p>
    <w:p w:rsidR="009040F3" w:rsidRPr="009040F3" w:rsidRDefault="009040F3" w:rsidP="009040F3">
      <w:pPr>
        <w:spacing w:line="360" w:lineRule="auto"/>
        <w:jc w:val="both"/>
        <w:rPr>
          <w:rFonts w:ascii="Times New Roman" w:hAnsi="Times New Roman" w:cs="Times New Roman"/>
          <w:b/>
          <w:sz w:val="24"/>
        </w:rPr>
      </w:pPr>
      <w:r w:rsidRPr="009040F3">
        <w:rPr>
          <w:rFonts w:ascii="Times New Roman" w:hAnsi="Times New Roman" w:cs="Times New Roman"/>
          <w:b/>
          <w:sz w:val="24"/>
        </w:rPr>
        <w:t>Question 2:</w:t>
      </w:r>
    </w:p>
    <w:p w:rsidR="009040F3" w:rsidRPr="009040F3" w:rsidRDefault="009040F3" w:rsidP="009040F3">
      <w:pPr>
        <w:spacing w:line="360" w:lineRule="auto"/>
        <w:jc w:val="both"/>
        <w:rPr>
          <w:rFonts w:ascii="Times New Roman" w:hAnsi="Times New Roman" w:cs="Times New Roman"/>
          <w:b/>
          <w:sz w:val="24"/>
        </w:rPr>
      </w:pPr>
      <w:r w:rsidRPr="009040F3">
        <w:rPr>
          <w:rFonts w:ascii="Times New Roman" w:hAnsi="Times New Roman" w:cs="Times New Roman"/>
          <w:b/>
          <w:sz w:val="24"/>
        </w:rPr>
        <w:t>Evaluation of XYZ Corporation's Share Valuation</w:t>
      </w:r>
    </w:p>
    <w:p w:rsidR="009040F3" w:rsidRDefault="009040F3" w:rsidP="009040F3">
      <w:pPr>
        <w:spacing w:line="360" w:lineRule="auto"/>
        <w:ind w:firstLine="720"/>
        <w:jc w:val="both"/>
        <w:rPr>
          <w:rFonts w:ascii="Times New Roman" w:hAnsi="Times New Roman" w:cs="Times New Roman"/>
          <w:sz w:val="24"/>
        </w:rPr>
      </w:pPr>
      <w:r w:rsidRPr="009040F3">
        <w:rPr>
          <w:rFonts w:ascii="Times New Roman" w:hAnsi="Times New Roman" w:cs="Times New Roman"/>
          <w:sz w:val="24"/>
        </w:rPr>
        <w:t>This analysis uses the Dividend Discount Model (DDM) to look at the value of each share of XYZ Corporation under various scenarios. A popular technique for estimating a company's stock value that takes into account anticipated future dividends is the DDM</w:t>
      </w:r>
      <w:r w:rsidR="00190C1C">
        <w:rPr>
          <w:rFonts w:ascii="Times New Roman" w:hAnsi="Times New Roman" w:cs="Times New Roman"/>
          <w:sz w:val="24"/>
        </w:rPr>
        <w:t xml:space="preserve"> (</w:t>
      </w:r>
      <w:r w:rsidR="00190C1C" w:rsidRPr="00190C1C">
        <w:rPr>
          <w:rFonts w:ascii="Times New Roman" w:hAnsi="Times New Roman" w:cs="Times New Roman"/>
          <w:sz w:val="24"/>
        </w:rPr>
        <w:t xml:space="preserve">Ma, </w:t>
      </w:r>
      <w:proofErr w:type="spellStart"/>
      <w:r w:rsidR="00190C1C" w:rsidRPr="00190C1C">
        <w:rPr>
          <w:rFonts w:ascii="Times New Roman" w:hAnsi="Times New Roman" w:cs="Times New Roman"/>
          <w:sz w:val="24"/>
        </w:rPr>
        <w:t>Xie</w:t>
      </w:r>
      <w:proofErr w:type="spellEnd"/>
      <w:r w:rsidR="00190C1C" w:rsidRPr="00190C1C">
        <w:rPr>
          <w:rFonts w:ascii="Times New Roman" w:hAnsi="Times New Roman" w:cs="Times New Roman"/>
          <w:sz w:val="24"/>
        </w:rPr>
        <w:t>, &amp; Zhang,</w:t>
      </w:r>
      <w:r w:rsidR="00190C1C">
        <w:rPr>
          <w:rFonts w:ascii="Times New Roman" w:hAnsi="Times New Roman" w:cs="Times New Roman"/>
          <w:sz w:val="24"/>
        </w:rPr>
        <w:t xml:space="preserve"> </w:t>
      </w:r>
      <w:r w:rsidR="00190C1C" w:rsidRPr="00190C1C">
        <w:rPr>
          <w:rFonts w:ascii="Times New Roman" w:hAnsi="Times New Roman" w:cs="Times New Roman"/>
          <w:sz w:val="24"/>
        </w:rPr>
        <w:t>2023)</w:t>
      </w:r>
      <w:r w:rsidRPr="009040F3">
        <w:rPr>
          <w:rFonts w:ascii="Times New Roman" w:hAnsi="Times New Roman" w:cs="Times New Roman"/>
          <w:sz w:val="24"/>
        </w:rPr>
        <w:t>. The DDM formula is as follows:</w:t>
      </w:r>
    </w:p>
    <w:p w:rsidR="009040F3" w:rsidRDefault="009040F3" w:rsidP="009040F3">
      <w:pPr>
        <w:spacing w:line="360" w:lineRule="auto"/>
        <w:ind w:firstLine="720"/>
        <w:jc w:val="both"/>
        <w:rPr>
          <w:rFonts w:ascii="Times New Roman" w:hAnsi="Times New Roman" w:cs="Times New Roman"/>
          <w:sz w:val="24"/>
        </w:rPr>
      </w:pPr>
      <w:r>
        <w:rPr>
          <w:noProof/>
        </w:rPr>
        <w:drawing>
          <wp:inline distT="0" distB="0" distL="0" distR="0" wp14:anchorId="1470331A" wp14:editId="2F651B5A">
            <wp:extent cx="1577340" cy="442869"/>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1578612" cy="443226"/>
                    </a:xfrm>
                    <a:prstGeom prst="rect">
                      <a:avLst/>
                    </a:prstGeom>
                  </pic:spPr>
                </pic:pic>
              </a:graphicData>
            </a:graphic>
          </wp:inline>
        </w:drawing>
      </w:r>
    </w:p>
    <w:p w:rsidR="009040F3" w:rsidRDefault="009040F3" w:rsidP="009040F3">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Here, </w:t>
      </w:r>
    </w:p>
    <w:p w:rsidR="009040F3" w:rsidRDefault="009040F3" w:rsidP="009040F3">
      <w:pPr>
        <w:spacing w:line="360" w:lineRule="auto"/>
        <w:ind w:firstLine="720"/>
        <w:jc w:val="both"/>
        <w:rPr>
          <w:rFonts w:ascii="Times New Roman" w:hAnsi="Times New Roman" w:cs="Times New Roman"/>
          <w:sz w:val="24"/>
        </w:rPr>
      </w:pPr>
      <w:r>
        <w:rPr>
          <w:rFonts w:ascii="Times New Roman" w:hAnsi="Times New Roman" w:cs="Times New Roman"/>
          <w:sz w:val="24"/>
        </w:rPr>
        <w:t>D</w:t>
      </w:r>
      <w:r>
        <w:rPr>
          <w:rFonts w:ascii="Times New Roman" w:hAnsi="Times New Roman" w:cs="Times New Roman"/>
          <w:sz w:val="16"/>
        </w:rPr>
        <w:t xml:space="preserve">0 </w:t>
      </w:r>
      <w:r>
        <w:rPr>
          <w:rFonts w:ascii="Times New Roman" w:hAnsi="Times New Roman" w:cs="Times New Roman"/>
          <w:sz w:val="24"/>
        </w:rPr>
        <w:t>refers to dividends per share</w:t>
      </w:r>
    </w:p>
    <w:p w:rsidR="009040F3" w:rsidRDefault="009040F3" w:rsidP="009040F3">
      <w:pPr>
        <w:spacing w:line="360" w:lineRule="auto"/>
        <w:ind w:firstLine="720"/>
        <w:jc w:val="both"/>
        <w:rPr>
          <w:rFonts w:ascii="Times New Roman" w:hAnsi="Times New Roman" w:cs="Times New Roman"/>
          <w:sz w:val="24"/>
        </w:rPr>
      </w:pPr>
      <w:proofErr w:type="gramStart"/>
      <w:r>
        <w:rPr>
          <w:rFonts w:ascii="Times New Roman" w:hAnsi="Times New Roman" w:cs="Times New Roman"/>
          <w:sz w:val="24"/>
        </w:rPr>
        <w:t>r</w:t>
      </w:r>
      <w:proofErr w:type="gramEnd"/>
      <w:r>
        <w:rPr>
          <w:rFonts w:ascii="Times New Roman" w:hAnsi="Times New Roman" w:cs="Times New Roman"/>
          <w:sz w:val="24"/>
        </w:rPr>
        <w:t xml:space="preserve"> refers to the return rate</w:t>
      </w:r>
    </w:p>
    <w:p w:rsidR="009040F3" w:rsidRDefault="009040F3" w:rsidP="009040F3">
      <w:pPr>
        <w:spacing w:line="360" w:lineRule="auto"/>
        <w:ind w:firstLine="720"/>
        <w:jc w:val="both"/>
        <w:rPr>
          <w:rFonts w:ascii="Times New Roman" w:hAnsi="Times New Roman" w:cs="Times New Roman"/>
          <w:sz w:val="24"/>
        </w:rPr>
      </w:pPr>
      <w:proofErr w:type="gramStart"/>
      <w:r>
        <w:rPr>
          <w:rFonts w:ascii="Times New Roman" w:hAnsi="Times New Roman" w:cs="Times New Roman"/>
          <w:sz w:val="24"/>
        </w:rPr>
        <w:t>g</w:t>
      </w:r>
      <w:proofErr w:type="gramEnd"/>
      <w:r>
        <w:rPr>
          <w:rFonts w:ascii="Times New Roman" w:hAnsi="Times New Roman" w:cs="Times New Roman"/>
          <w:sz w:val="24"/>
        </w:rPr>
        <w:t xml:space="preserve"> refers to the rate of growth for the dividends</w:t>
      </w:r>
      <w:r w:rsidR="00190C1C">
        <w:rPr>
          <w:rFonts w:ascii="Times New Roman" w:hAnsi="Times New Roman" w:cs="Times New Roman"/>
          <w:sz w:val="24"/>
        </w:rPr>
        <w:t xml:space="preserve"> (</w:t>
      </w:r>
      <w:r w:rsidR="00190C1C" w:rsidRPr="00190C1C">
        <w:rPr>
          <w:rFonts w:ascii="Times New Roman" w:hAnsi="Times New Roman" w:cs="Times New Roman"/>
          <w:sz w:val="24"/>
        </w:rPr>
        <w:t xml:space="preserve">D’Amico, &amp; De </w:t>
      </w:r>
      <w:proofErr w:type="spellStart"/>
      <w:r w:rsidR="00190C1C" w:rsidRPr="00190C1C">
        <w:rPr>
          <w:rFonts w:ascii="Times New Roman" w:hAnsi="Times New Roman" w:cs="Times New Roman"/>
          <w:sz w:val="24"/>
        </w:rPr>
        <w:t>Blasis</w:t>
      </w:r>
      <w:proofErr w:type="spellEnd"/>
      <w:r w:rsidR="00190C1C" w:rsidRPr="00190C1C">
        <w:rPr>
          <w:rFonts w:ascii="Times New Roman" w:hAnsi="Times New Roman" w:cs="Times New Roman"/>
          <w:sz w:val="24"/>
        </w:rPr>
        <w:t>, 2020)</w:t>
      </w:r>
    </w:p>
    <w:p w:rsidR="00654E81" w:rsidRDefault="00654E81" w:rsidP="009040F3">
      <w:pPr>
        <w:spacing w:line="360" w:lineRule="auto"/>
        <w:ind w:firstLine="720"/>
        <w:jc w:val="both"/>
        <w:rPr>
          <w:rFonts w:ascii="Times New Roman" w:hAnsi="Times New Roman" w:cs="Times New Roman"/>
          <w:sz w:val="24"/>
        </w:rPr>
      </w:pPr>
    </w:p>
    <w:p w:rsidR="00654E81" w:rsidRDefault="00654E81" w:rsidP="009040F3">
      <w:pPr>
        <w:spacing w:line="360" w:lineRule="auto"/>
        <w:ind w:firstLine="720"/>
        <w:jc w:val="both"/>
        <w:rPr>
          <w:rFonts w:ascii="Times New Roman" w:hAnsi="Times New Roman" w:cs="Times New Roman"/>
          <w:sz w:val="24"/>
        </w:rPr>
      </w:pPr>
    </w:p>
    <w:p w:rsidR="009040F3" w:rsidRPr="002B21B4" w:rsidRDefault="009040F3" w:rsidP="00654E81">
      <w:pPr>
        <w:pStyle w:val="ListParagraph"/>
        <w:numPr>
          <w:ilvl w:val="0"/>
          <w:numId w:val="1"/>
        </w:numPr>
        <w:spacing w:line="360" w:lineRule="auto"/>
        <w:jc w:val="center"/>
        <w:rPr>
          <w:rFonts w:ascii="Times New Roman" w:hAnsi="Times New Roman" w:cs="Times New Roman"/>
          <w:sz w:val="24"/>
          <w:u w:val="single"/>
        </w:rPr>
      </w:pPr>
      <w:r w:rsidRPr="002B21B4">
        <w:rPr>
          <w:rFonts w:ascii="Times New Roman" w:hAnsi="Times New Roman" w:cs="Times New Roman"/>
          <w:b/>
          <w:sz w:val="24"/>
          <w:u w:val="single"/>
        </w:rPr>
        <w:lastRenderedPageBreak/>
        <w:t>Zero growth in dividend value</w:t>
      </w:r>
      <w:r w:rsidRPr="002B21B4">
        <w:rPr>
          <w:rFonts w:ascii="Times New Roman" w:hAnsi="Times New Roman" w:cs="Times New Roman"/>
          <w:sz w:val="24"/>
          <w:u w:val="single"/>
        </w:rPr>
        <w:t>:</w:t>
      </w:r>
    </w:p>
    <w:p w:rsidR="009040F3" w:rsidRDefault="002B21B4" w:rsidP="002B21B4">
      <w:pPr>
        <w:spacing w:line="360" w:lineRule="auto"/>
        <w:ind w:left="360"/>
        <w:jc w:val="both"/>
        <w:rPr>
          <w:rFonts w:ascii="Times New Roman" w:hAnsi="Times New Roman" w:cs="Times New Roman"/>
          <w:sz w:val="24"/>
        </w:rPr>
      </w:pPr>
      <w:r w:rsidRPr="002B21B4">
        <w:rPr>
          <w:rFonts w:ascii="Times New Roman" w:hAnsi="Times New Roman" w:cs="Times New Roman"/>
          <w:sz w:val="24"/>
        </w:rPr>
        <w:t xml:space="preserve">Assuming that XYZ Corporation's dividends have not increased, the dividend stays at </w:t>
      </w:r>
      <w:r w:rsidRPr="002B21B4">
        <w:rPr>
          <w:rFonts w:ascii="Cambria Math" w:hAnsi="Cambria Math" w:cs="Cambria Math"/>
          <w:sz w:val="24"/>
        </w:rPr>
        <w:t>𝐷</w:t>
      </w:r>
      <w:r w:rsidRPr="002B21B4">
        <w:rPr>
          <w:rFonts w:ascii="Times New Roman" w:hAnsi="Times New Roman" w:cs="Times New Roman"/>
          <w:sz w:val="16"/>
        </w:rPr>
        <w:t>0</w:t>
      </w:r>
      <w:r w:rsidRPr="002B21B4">
        <w:rPr>
          <w:rFonts w:ascii="Times New Roman" w:hAnsi="Times New Roman" w:cs="Times New Roman"/>
          <w:sz w:val="24"/>
        </w:rPr>
        <w:t xml:space="preserve"> = 1 per share. 8% is the stated needed rate of return (r = 0.08).</w:t>
      </w:r>
      <w:r>
        <w:rPr>
          <w:rFonts w:ascii="Times New Roman" w:hAnsi="Times New Roman" w:cs="Times New Roman"/>
          <w:sz w:val="24"/>
        </w:rPr>
        <w:t xml:space="preserve"> </w:t>
      </w:r>
      <w:r w:rsidRPr="002B21B4">
        <w:rPr>
          <w:rFonts w:ascii="Times New Roman" w:hAnsi="Times New Roman" w:cs="Times New Roman"/>
          <w:sz w:val="24"/>
        </w:rPr>
        <w:t>The dividend growth rate (g) is 0% under this scenario. The following is the formula for the share's value</w:t>
      </w:r>
      <w:r w:rsidR="00C53778">
        <w:rPr>
          <w:rFonts w:ascii="Times New Roman" w:hAnsi="Times New Roman" w:cs="Times New Roman"/>
          <w:sz w:val="24"/>
        </w:rPr>
        <w:t xml:space="preserve"> (</w:t>
      </w:r>
      <w:proofErr w:type="spellStart"/>
      <w:r w:rsidR="00C53778">
        <w:rPr>
          <w:rFonts w:ascii="Times New Roman" w:hAnsi="Times New Roman" w:cs="Times New Roman"/>
          <w:sz w:val="24"/>
        </w:rPr>
        <w:t>Hatemi</w:t>
      </w:r>
      <w:proofErr w:type="spellEnd"/>
      <w:r w:rsidR="00C53778">
        <w:rPr>
          <w:rFonts w:ascii="Times New Roman" w:hAnsi="Times New Roman" w:cs="Times New Roman"/>
          <w:sz w:val="24"/>
        </w:rPr>
        <w:t>‑J</w:t>
      </w:r>
      <w:r w:rsidR="00C53778" w:rsidRPr="00C53778">
        <w:rPr>
          <w:rFonts w:ascii="Times New Roman" w:hAnsi="Times New Roman" w:cs="Times New Roman"/>
          <w:sz w:val="24"/>
        </w:rPr>
        <w:t xml:space="preserve"> &amp; E</w:t>
      </w:r>
      <w:r w:rsidR="00C53778">
        <w:rPr>
          <w:rFonts w:ascii="Times New Roman" w:hAnsi="Times New Roman" w:cs="Times New Roman"/>
          <w:sz w:val="24"/>
        </w:rPr>
        <w:t>l‑</w:t>
      </w:r>
      <w:proofErr w:type="spellStart"/>
      <w:r w:rsidR="00C53778">
        <w:rPr>
          <w:rFonts w:ascii="Times New Roman" w:hAnsi="Times New Roman" w:cs="Times New Roman"/>
          <w:sz w:val="24"/>
        </w:rPr>
        <w:t>Khatib</w:t>
      </w:r>
      <w:proofErr w:type="spellEnd"/>
      <w:r w:rsidR="00C53778">
        <w:rPr>
          <w:rFonts w:ascii="Times New Roman" w:hAnsi="Times New Roman" w:cs="Times New Roman"/>
          <w:sz w:val="24"/>
        </w:rPr>
        <w:t xml:space="preserve">, </w:t>
      </w:r>
      <w:r w:rsidR="00C53778" w:rsidRPr="00C53778">
        <w:rPr>
          <w:rFonts w:ascii="Times New Roman" w:hAnsi="Times New Roman" w:cs="Times New Roman"/>
          <w:sz w:val="24"/>
        </w:rPr>
        <w:t>2018)</w:t>
      </w:r>
      <w:r w:rsidRPr="002B21B4">
        <w:rPr>
          <w:rFonts w:ascii="Times New Roman" w:hAnsi="Times New Roman" w:cs="Times New Roman"/>
          <w:sz w:val="24"/>
        </w:rPr>
        <w:t>:</w:t>
      </w:r>
    </w:p>
    <w:p w:rsidR="002B21B4" w:rsidRDefault="002B21B4" w:rsidP="002B21B4">
      <w:pPr>
        <w:spacing w:line="360" w:lineRule="auto"/>
        <w:ind w:left="360"/>
        <w:jc w:val="both"/>
        <w:rPr>
          <w:rFonts w:ascii="Times New Roman" w:hAnsi="Times New Roman" w:cs="Times New Roman"/>
          <w:sz w:val="24"/>
        </w:rPr>
      </w:pPr>
      <w:r>
        <w:rPr>
          <w:rFonts w:ascii="Times New Roman" w:hAnsi="Times New Roman" w:cs="Times New Roman"/>
          <w:sz w:val="24"/>
        </w:rPr>
        <w:t>Share Value = 1 / 0/08 = 12.50</w:t>
      </w:r>
    </w:p>
    <w:p w:rsidR="002B21B4" w:rsidRDefault="002B21B4" w:rsidP="002B21B4">
      <w:pPr>
        <w:spacing w:line="360" w:lineRule="auto"/>
        <w:ind w:left="360"/>
        <w:jc w:val="both"/>
        <w:rPr>
          <w:rFonts w:ascii="Times New Roman" w:hAnsi="Times New Roman" w:cs="Times New Roman"/>
          <w:sz w:val="24"/>
        </w:rPr>
      </w:pPr>
      <w:r>
        <w:rPr>
          <w:rFonts w:ascii="Times New Roman" w:hAnsi="Times New Roman" w:cs="Times New Roman"/>
          <w:sz w:val="24"/>
        </w:rPr>
        <w:t>So, if there is no growth in the dividends, then each share will be valued at $ 12.50</w:t>
      </w:r>
    </w:p>
    <w:p w:rsidR="002B21B4" w:rsidRPr="002B21B4" w:rsidRDefault="002B21B4" w:rsidP="00654E81">
      <w:pPr>
        <w:spacing w:line="360" w:lineRule="auto"/>
        <w:ind w:left="360"/>
        <w:jc w:val="center"/>
        <w:rPr>
          <w:rFonts w:ascii="Times New Roman" w:hAnsi="Times New Roman" w:cs="Times New Roman"/>
          <w:b/>
          <w:sz w:val="24"/>
          <w:u w:val="single"/>
        </w:rPr>
      </w:pPr>
      <w:r w:rsidRPr="002B21B4">
        <w:rPr>
          <w:rFonts w:ascii="Times New Roman" w:hAnsi="Times New Roman" w:cs="Times New Roman"/>
          <w:b/>
          <w:sz w:val="24"/>
          <w:u w:val="single"/>
        </w:rPr>
        <w:t>B. If the growth rate is 4%</w:t>
      </w:r>
    </w:p>
    <w:p w:rsidR="002B21B4" w:rsidRDefault="002B21B4" w:rsidP="002B21B4">
      <w:pPr>
        <w:spacing w:line="360" w:lineRule="auto"/>
        <w:ind w:left="360"/>
        <w:jc w:val="both"/>
        <w:rPr>
          <w:rFonts w:ascii="Times New Roman" w:hAnsi="Times New Roman" w:cs="Times New Roman"/>
          <w:sz w:val="24"/>
        </w:rPr>
      </w:pPr>
      <w:r>
        <w:rPr>
          <w:rFonts w:ascii="Times New Roman" w:hAnsi="Times New Roman" w:cs="Times New Roman"/>
          <w:sz w:val="24"/>
        </w:rPr>
        <w:t xml:space="preserve">        </w:t>
      </w:r>
      <w:r w:rsidRPr="002B21B4">
        <w:rPr>
          <w:rFonts w:ascii="Times New Roman" w:hAnsi="Times New Roman" w:cs="Times New Roman"/>
          <w:sz w:val="24"/>
        </w:rPr>
        <w:t>The dividend is assumed to rise at a 4% yearly rate in this case (g = 0.04). It is still necessary to have a rate of return of 8% (r = 0.08).</w:t>
      </w:r>
      <w:r>
        <w:rPr>
          <w:rFonts w:ascii="Times New Roman" w:hAnsi="Times New Roman" w:cs="Times New Roman"/>
          <w:sz w:val="24"/>
        </w:rPr>
        <w:t xml:space="preserve"> </w:t>
      </w:r>
      <w:r w:rsidRPr="002B21B4">
        <w:rPr>
          <w:rFonts w:ascii="Times New Roman" w:hAnsi="Times New Roman" w:cs="Times New Roman"/>
          <w:sz w:val="24"/>
        </w:rPr>
        <w:t>With the current growth rate and the DDM formula, we determine the share's value as follows:</w:t>
      </w:r>
      <w:r>
        <w:rPr>
          <w:rFonts w:ascii="Times New Roman" w:hAnsi="Times New Roman" w:cs="Times New Roman"/>
          <w:sz w:val="24"/>
        </w:rPr>
        <w:t xml:space="preserve">                            </w:t>
      </w:r>
    </w:p>
    <w:p w:rsidR="009040F3" w:rsidRDefault="00765F73" w:rsidP="009040F3">
      <w:pPr>
        <w:spacing w:line="360" w:lineRule="auto"/>
        <w:jc w:val="both"/>
        <w:rPr>
          <w:rFonts w:ascii="Times New Roman" w:hAnsi="Times New Roman" w:cs="Times New Roman"/>
          <w:sz w:val="24"/>
        </w:rPr>
      </w:pPr>
      <w:r>
        <w:rPr>
          <w:rFonts w:ascii="Times New Roman" w:hAnsi="Times New Roman" w:cs="Times New Roman"/>
          <w:sz w:val="24"/>
        </w:rPr>
        <w:t>Share value = 1 / (0.08 – 0.04) = 1 / 0.04 = 25</w:t>
      </w:r>
    </w:p>
    <w:p w:rsidR="00765F73" w:rsidRDefault="00765F73" w:rsidP="009040F3">
      <w:pPr>
        <w:spacing w:line="360" w:lineRule="auto"/>
        <w:jc w:val="both"/>
        <w:rPr>
          <w:rFonts w:ascii="Times New Roman" w:hAnsi="Times New Roman" w:cs="Times New Roman"/>
          <w:sz w:val="24"/>
        </w:rPr>
      </w:pPr>
      <w:r>
        <w:rPr>
          <w:rFonts w:ascii="Times New Roman" w:hAnsi="Times New Roman" w:cs="Times New Roman"/>
          <w:sz w:val="24"/>
        </w:rPr>
        <w:t>So, in case of 4% growth rate in the dividends, the share price of each share will be $ 25</w:t>
      </w:r>
    </w:p>
    <w:p w:rsidR="00765F73" w:rsidRDefault="00765F73" w:rsidP="00654E81">
      <w:pPr>
        <w:spacing w:line="360" w:lineRule="auto"/>
        <w:jc w:val="center"/>
        <w:rPr>
          <w:rFonts w:ascii="Times New Roman" w:hAnsi="Times New Roman" w:cs="Times New Roman"/>
          <w:b/>
          <w:sz w:val="24"/>
          <w:u w:val="single"/>
        </w:rPr>
      </w:pPr>
      <w:r>
        <w:rPr>
          <w:rFonts w:ascii="Times New Roman" w:hAnsi="Times New Roman" w:cs="Times New Roman"/>
          <w:b/>
          <w:sz w:val="24"/>
          <w:u w:val="single"/>
        </w:rPr>
        <w:t xml:space="preserve">C. If the growth rate is 4% </w:t>
      </w:r>
      <w:proofErr w:type="gramStart"/>
      <w:r>
        <w:rPr>
          <w:rFonts w:ascii="Times New Roman" w:hAnsi="Times New Roman" w:cs="Times New Roman"/>
          <w:b/>
          <w:sz w:val="24"/>
          <w:u w:val="single"/>
        </w:rPr>
        <w:t>Required</w:t>
      </w:r>
      <w:proofErr w:type="gramEnd"/>
      <w:r>
        <w:rPr>
          <w:rFonts w:ascii="Times New Roman" w:hAnsi="Times New Roman" w:cs="Times New Roman"/>
          <w:b/>
          <w:sz w:val="24"/>
          <w:u w:val="single"/>
        </w:rPr>
        <w:t xml:space="preserve"> return rate </w:t>
      </w:r>
      <w:r w:rsidRPr="00765F73">
        <w:rPr>
          <w:rFonts w:ascii="Times New Roman" w:hAnsi="Times New Roman" w:cs="Times New Roman"/>
          <w:b/>
          <w:sz w:val="24"/>
          <w:u w:val="single"/>
        </w:rPr>
        <w:t>is 6%</w:t>
      </w:r>
    </w:p>
    <w:p w:rsidR="00765F73" w:rsidRDefault="00765F73" w:rsidP="00765F73">
      <w:pPr>
        <w:spacing w:line="360" w:lineRule="auto"/>
        <w:jc w:val="both"/>
        <w:rPr>
          <w:rFonts w:ascii="Times New Roman" w:hAnsi="Times New Roman" w:cs="Times New Roman"/>
          <w:sz w:val="24"/>
        </w:rPr>
      </w:pPr>
      <w:r w:rsidRPr="00765F73">
        <w:rPr>
          <w:rFonts w:ascii="Times New Roman" w:hAnsi="Times New Roman" w:cs="Times New Roman"/>
          <w:sz w:val="24"/>
        </w:rPr>
        <w:t>The needed rate of return falls to 6% (R = 0.06), whil</w:t>
      </w:r>
      <w:r>
        <w:rPr>
          <w:rFonts w:ascii="Times New Roman" w:hAnsi="Times New Roman" w:cs="Times New Roman"/>
          <w:sz w:val="24"/>
        </w:rPr>
        <w:t>e the growth rate stays at 4% (g</w:t>
      </w:r>
      <w:r w:rsidRPr="00765F73">
        <w:rPr>
          <w:rFonts w:ascii="Times New Roman" w:hAnsi="Times New Roman" w:cs="Times New Roman"/>
          <w:sz w:val="24"/>
        </w:rPr>
        <w:t xml:space="preserve"> = 0.04). This decreased return is a result of either a general decline in the interest rate environment or an overall decline in perceived risk</w:t>
      </w:r>
      <w:r w:rsidR="00E2425B">
        <w:rPr>
          <w:rFonts w:ascii="Times New Roman" w:hAnsi="Times New Roman" w:cs="Times New Roman"/>
          <w:sz w:val="24"/>
        </w:rPr>
        <w:t xml:space="preserve"> (Zhang, </w:t>
      </w:r>
      <w:r w:rsidR="00E2425B" w:rsidRPr="00E2425B">
        <w:rPr>
          <w:rFonts w:ascii="Times New Roman" w:hAnsi="Times New Roman" w:cs="Times New Roman"/>
          <w:sz w:val="24"/>
        </w:rPr>
        <w:t>2025)</w:t>
      </w:r>
      <w:r w:rsidRPr="00765F73">
        <w:rPr>
          <w:rFonts w:ascii="Times New Roman" w:hAnsi="Times New Roman" w:cs="Times New Roman"/>
          <w:sz w:val="24"/>
        </w:rPr>
        <w:t>.</w:t>
      </w:r>
      <w:r>
        <w:rPr>
          <w:rFonts w:ascii="Times New Roman" w:hAnsi="Times New Roman" w:cs="Times New Roman"/>
          <w:sz w:val="24"/>
        </w:rPr>
        <w:t xml:space="preserve"> </w:t>
      </w:r>
      <w:r w:rsidRPr="00765F73">
        <w:rPr>
          <w:rFonts w:ascii="Times New Roman" w:hAnsi="Times New Roman" w:cs="Times New Roman"/>
          <w:sz w:val="24"/>
        </w:rPr>
        <w:t>Entering these values into the calculation for DDM:</w:t>
      </w:r>
    </w:p>
    <w:p w:rsidR="00765F73" w:rsidRDefault="00765F73" w:rsidP="00765F73">
      <w:pPr>
        <w:spacing w:line="360" w:lineRule="auto"/>
        <w:jc w:val="both"/>
        <w:rPr>
          <w:rFonts w:ascii="Times New Roman" w:hAnsi="Times New Roman" w:cs="Times New Roman"/>
          <w:sz w:val="24"/>
        </w:rPr>
      </w:pPr>
      <w:r>
        <w:rPr>
          <w:rFonts w:ascii="Times New Roman" w:hAnsi="Times New Roman" w:cs="Times New Roman"/>
          <w:sz w:val="24"/>
        </w:rPr>
        <w:t>Share value = 1 / (0.06 – 0.04) = 1 / 0.02 = 50</w:t>
      </w:r>
    </w:p>
    <w:p w:rsidR="00765F73" w:rsidRDefault="00765F73" w:rsidP="00765F73">
      <w:pPr>
        <w:spacing w:line="360" w:lineRule="auto"/>
        <w:jc w:val="both"/>
        <w:rPr>
          <w:rFonts w:ascii="Times New Roman" w:hAnsi="Times New Roman" w:cs="Times New Roman"/>
          <w:sz w:val="24"/>
        </w:rPr>
      </w:pPr>
      <w:r>
        <w:rPr>
          <w:rFonts w:ascii="Times New Roman" w:hAnsi="Times New Roman" w:cs="Times New Roman"/>
          <w:sz w:val="24"/>
        </w:rPr>
        <w:t>So, the share price of each share will be $ 50 if there is a growth of 4% and the required return rate is 6%</w:t>
      </w:r>
    </w:p>
    <w:p w:rsidR="00765F73" w:rsidRPr="00765F73" w:rsidRDefault="00765F73" w:rsidP="00EF25EC">
      <w:pPr>
        <w:spacing w:line="360" w:lineRule="auto"/>
        <w:ind w:firstLine="360"/>
        <w:jc w:val="both"/>
        <w:rPr>
          <w:rFonts w:ascii="Times New Roman" w:hAnsi="Times New Roman" w:cs="Times New Roman"/>
          <w:sz w:val="24"/>
        </w:rPr>
      </w:pPr>
      <w:r w:rsidRPr="00765F73">
        <w:rPr>
          <w:rFonts w:ascii="Times New Roman" w:hAnsi="Times New Roman" w:cs="Times New Roman"/>
          <w:sz w:val="24"/>
        </w:rPr>
        <w:t>The assumptions regarding the needed rate of return and dividend growth have a significant impact on the value of XYZ Corporation's shares</w:t>
      </w:r>
      <w:r w:rsidR="00DE7E18">
        <w:rPr>
          <w:rFonts w:ascii="Times New Roman" w:hAnsi="Times New Roman" w:cs="Times New Roman"/>
          <w:sz w:val="24"/>
        </w:rPr>
        <w:t xml:space="preserve"> (</w:t>
      </w:r>
      <w:r w:rsidR="00103A08">
        <w:rPr>
          <w:rFonts w:ascii="Times New Roman" w:hAnsi="Times New Roman" w:cs="Times New Roman"/>
          <w:sz w:val="24"/>
        </w:rPr>
        <w:t>T</w:t>
      </w:r>
      <w:r w:rsidR="00DE7E18">
        <w:rPr>
          <w:rFonts w:ascii="Times New Roman" w:hAnsi="Times New Roman" w:cs="Times New Roman"/>
          <w:sz w:val="24"/>
        </w:rPr>
        <w:t xml:space="preserve">ang, </w:t>
      </w:r>
      <w:proofErr w:type="spellStart"/>
      <w:r w:rsidR="00DE7E18">
        <w:rPr>
          <w:rFonts w:ascii="Times New Roman" w:hAnsi="Times New Roman" w:cs="Times New Roman"/>
          <w:sz w:val="24"/>
        </w:rPr>
        <w:t>n.d.</w:t>
      </w:r>
      <w:proofErr w:type="spellEnd"/>
      <w:r w:rsidR="00DE7E18">
        <w:rPr>
          <w:rFonts w:ascii="Times New Roman" w:hAnsi="Times New Roman" w:cs="Times New Roman"/>
          <w:sz w:val="24"/>
        </w:rPr>
        <w:t>)</w:t>
      </w:r>
      <w:r w:rsidRPr="00765F73">
        <w:rPr>
          <w:rFonts w:ascii="Times New Roman" w:hAnsi="Times New Roman" w:cs="Times New Roman"/>
          <w:sz w:val="24"/>
        </w:rPr>
        <w:t>. The following are the main conclusions of this analysis:</w:t>
      </w:r>
    </w:p>
    <w:p w:rsidR="00765F73" w:rsidRPr="00765F73" w:rsidRDefault="00765F73" w:rsidP="00765F73">
      <w:pPr>
        <w:pStyle w:val="ListParagraph"/>
        <w:numPr>
          <w:ilvl w:val="0"/>
          <w:numId w:val="2"/>
        </w:numPr>
        <w:spacing w:line="360" w:lineRule="auto"/>
        <w:jc w:val="both"/>
        <w:rPr>
          <w:rFonts w:ascii="Times New Roman" w:hAnsi="Times New Roman" w:cs="Times New Roman"/>
          <w:sz w:val="24"/>
        </w:rPr>
      </w:pPr>
      <w:r w:rsidRPr="00765F73">
        <w:rPr>
          <w:rFonts w:ascii="Times New Roman" w:hAnsi="Times New Roman" w:cs="Times New Roman"/>
          <w:sz w:val="24"/>
        </w:rPr>
        <w:t>The share value is $12.50 when dividend growth is zero.</w:t>
      </w:r>
    </w:p>
    <w:p w:rsidR="00765F73" w:rsidRPr="00765F73" w:rsidRDefault="00765F73" w:rsidP="00765F73">
      <w:pPr>
        <w:pStyle w:val="ListParagraph"/>
        <w:numPr>
          <w:ilvl w:val="0"/>
          <w:numId w:val="2"/>
        </w:numPr>
        <w:spacing w:line="360" w:lineRule="auto"/>
        <w:jc w:val="both"/>
        <w:rPr>
          <w:rFonts w:ascii="Times New Roman" w:hAnsi="Times New Roman" w:cs="Times New Roman"/>
          <w:sz w:val="24"/>
        </w:rPr>
      </w:pPr>
      <w:r w:rsidRPr="00765F73">
        <w:rPr>
          <w:rFonts w:ascii="Times New Roman" w:hAnsi="Times New Roman" w:cs="Times New Roman"/>
          <w:sz w:val="24"/>
        </w:rPr>
        <w:lastRenderedPageBreak/>
        <w:t>When dividends grow by 4% annually, the share value rises to $25.00.</w:t>
      </w:r>
    </w:p>
    <w:p w:rsidR="00765F73" w:rsidRDefault="00765F73" w:rsidP="00765F73">
      <w:pPr>
        <w:pStyle w:val="ListParagraph"/>
        <w:numPr>
          <w:ilvl w:val="0"/>
          <w:numId w:val="2"/>
        </w:numPr>
        <w:spacing w:line="360" w:lineRule="auto"/>
        <w:jc w:val="both"/>
        <w:rPr>
          <w:rFonts w:ascii="Times New Roman" w:hAnsi="Times New Roman" w:cs="Times New Roman"/>
          <w:sz w:val="24"/>
        </w:rPr>
      </w:pPr>
      <w:r w:rsidRPr="00765F73">
        <w:rPr>
          <w:rFonts w:ascii="Times New Roman" w:hAnsi="Times New Roman" w:cs="Times New Roman"/>
          <w:sz w:val="24"/>
        </w:rPr>
        <w:t>By keeping the growth rate at 4% and lowering the needed rate of return to 6%, the share value rises to $50.00.</w:t>
      </w:r>
    </w:p>
    <w:p w:rsidR="00765F73" w:rsidRPr="00EF25EC" w:rsidRDefault="00237E60" w:rsidP="00654E81">
      <w:pPr>
        <w:spacing w:line="360" w:lineRule="auto"/>
        <w:ind w:left="360"/>
        <w:rPr>
          <w:rFonts w:ascii="Times New Roman" w:hAnsi="Times New Roman" w:cs="Times New Roman"/>
          <w:b/>
          <w:sz w:val="24"/>
        </w:rPr>
      </w:pPr>
      <w:r w:rsidRPr="00EF25EC">
        <w:rPr>
          <w:rFonts w:ascii="Times New Roman" w:hAnsi="Times New Roman" w:cs="Times New Roman"/>
          <w:b/>
          <w:sz w:val="24"/>
        </w:rPr>
        <w:t>Question 3 is done on excel sheet as per instructions</w:t>
      </w:r>
    </w:p>
    <w:p w:rsidR="00237E60" w:rsidRPr="00237E60" w:rsidRDefault="00237E60" w:rsidP="00765F73">
      <w:pPr>
        <w:spacing w:line="360" w:lineRule="auto"/>
        <w:ind w:left="360"/>
        <w:jc w:val="both"/>
        <w:rPr>
          <w:rFonts w:ascii="Times New Roman" w:hAnsi="Times New Roman" w:cs="Times New Roman"/>
          <w:b/>
          <w:sz w:val="24"/>
        </w:rPr>
      </w:pPr>
      <w:r w:rsidRPr="00237E60">
        <w:rPr>
          <w:rFonts w:ascii="Times New Roman" w:hAnsi="Times New Roman" w:cs="Times New Roman"/>
          <w:b/>
          <w:sz w:val="24"/>
        </w:rPr>
        <w:t>Question 4:</w:t>
      </w:r>
    </w:p>
    <w:p w:rsidR="00237E60" w:rsidRPr="00237E60" w:rsidRDefault="00237E60" w:rsidP="0099756E">
      <w:pPr>
        <w:spacing w:line="360" w:lineRule="auto"/>
        <w:ind w:left="360"/>
        <w:jc w:val="center"/>
        <w:rPr>
          <w:rFonts w:ascii="Times New Roman" w:hAnsi="Times New Roman" w:cs="Times New Roman"/>
          <w:b/>
          <w:sz w:val="24"/>
        </w:rPr>
      </w:pPr>
      <w:r w:rsidRPr="00237E60">
        <w:rPr>
          <w:rFonts w:ascii="Times New Roman" w:hAnsi="Times New Roman" w:cs="Times New Roman"/>
          <w:b/>
          <w:sz w:val="24"/>
        </w:rPr>
        <w:t>Evaluation of the Bankruptcy Decision of Alpha Manufacturing Corporation</w:t>
      </w:r>
    </w:p>
    <w:p w:rsidR="00237E60" w:rsidRPr="00237E60" w:rsidRDefault="00237E60" w:rsidP="00237E60">
      <w:pPr>
        <w:spacing w:line="360" w:lineRule="auto"/>
        <w:ind w:left="360" w:firstLine="360"/>
        <w:jc w:val="both"/>
        <w:rPr>
          <w:rFonts w:ascii="Times New Roman" w:hAnsi="Times New Roman" w:cs="Times New Roman"/>
          <w:sz w:val="24"/>
        </w:rPr>
      </w:pPr>
      <w:r w:rsidRPr="00237E60">
        <w:rPr>
          <w:rFonts w:ascii="Times New Roman" w:hAnsi="Times New Roman" w:cs="Times New Roman"/>
          <w:sz w:val="24"/>
        </w:rPr>
        <w:t>Given that bonds account for a sizable amount of Alpha Manufacturing Corporation's (AMC) debt, the company is currently experiencing severe financial difficulties. There is disagreement among bondholders and stockholders on the company's potential bankruptcy. Here, the analysis looks at the situation's financial and legal ramifications, with a particular emphasis on the possible outcomes for different stakeholders, such as bondholders and shareholders, in the event of bankruptcy.</w:t>
      </w:r>
    </w:p>
    <w:p w:rsidR="00237E60" w:rsidRPr="00237E60" w:rsidRDefault="00237E60" w:rsidP="0099756E">
      <w:pPr>
        <w:spacing w:line="360" w:lineRule="auto"/>
        <w:ind w:left="360"/>
        <w:jc w:val="center"/>
        <w:rPr>
          <w:rFonts w:ascii="Times New Roman" w:hAnsi="Times New Roman" w:cs="Times New Roman"/>
          <w:b/>
          <w:sz w:val="24"/>
        </w:rPr>
      </w:pPr>
      <w:r w:rsidRPr="00237E60">
        <w:rPr>
          <w:rFonts w:ascii="Times New Roman" w:hAnsi="Times New Roman" w:cs="Times New Roman"/>
          <w:b/>
          <w:sz w:val="24"/>
        </w:rPr>
        <w:t>A. Is it possible for bondholders and shareholders to band together to vote the CEO out?</w:t>
      </w:r>
    </w:p>
    <w:p w:rsidR="00237E60" w:rsidRPr="00237E60" w:rsidRDefault="00237E60" w:rsidP="00237E60">
      <w:pPr>
        <w:spacing w:line="360" w:lineRule="auto"/>
        <w:ind w:left="360" w:firstLine="360"/>
        <w:jc w:val="both"/>
        <w:rPr>
          <w:rFonts w:ascii="Times New Roman" w:hAnsi="Times New Roman" w:cs="Times New Roman"/>
          <w:sz w:val="24"/>
        </w:rPr>
      </w:pPr>
      <w:r w:rsidRPr="00237E60">
        <w:rPr>
          <w:rFonts w:ascii="Times New Roman" w:hAnsi="Times New Roman" w:cs="Times New Roman"/>
          <w:sz w:val="24"/>
        </w:rPr>
        <w:t>In this instance, bondholders and stockholders are at odds because the CEO was reluctant to file for bankruptcy. Whether the disgruntled shareholders and bondholders can band together to remove the CEO is the question. Understanding shareholder voting rights, corporate governance, and the hierarchy of creditor claims will help in answering this question.</w:t>
      </w:r>
    </w:p>
    <w:p w:rsidR="00237E60" w:rsidRDefault="00237E60" w:rsidP="00237E60">
      <w:pPr>
        <w:spacing w:line="360" w:lineRule="auto"/>
        <w:ind w:left="360" w:firstLine="360"/>
        <w:jc w:val="both"/>
        <w:rPr>
          <w:rFonts w:ascii="Times New Roman" w:hAnsi="Times New Roman" w:cs="Times New Roman"/>
          <w:sz w:val="24"/>
        </w:rPr>
      </w:pPr>
      <w:r w:rsidRPr="00237E60">
        <w:rPr>
          <w:rFonts w:ascii="Times New Roman" w:hAnsi="Times New Roman" w:cs="Times New Roman"/>
          <w:sz w:val="24"/>
        </w:rPr>
        <w:t>The ability to elect and dismiss the CEO is usually granted to shareholders through voting at a shareholders' meeting. Nonetheless, the majority vote rules and the shareholder voting system determine how the CEO is removed. It is possible for unsatisfied shareholders to effectively remove the CEO from office if they possess a significant number of votes, usually a majority or occasionally a supermajority. Whether these stockholders have sufficient voting power is the main question in this situation.</w:t>
      </w:r>
    </w:p>
    <w:p w:rsidR="00237E60" w:rsidRPr="00237E60" w:rsidRDefault="00237E60" w:rsidP="00EF25EC">
      <w:pPr>
        <w:spacing w:line="360" w:lineRule="auto"/>
        <w:ind w:left="360" w:firstLine="360"/>
        <w:jc w:val="both"/>
        <w:rPr>
          <w:rFonts w:ascii="Times New Roman" w:hAnsi="Times New Roman" w:cs="Times New Roman"/>
          <w:sz w:val="24"/>
        </w:rPr>
      </w:pPr>
      <w:r w:rsidRPr="00237E60">
        <w:rPr>
          <w:rFonts w:ascii="Times New Roman" w:hAnsi="Times New Roman" w:cs="Times New Roman"/>
          <w:sz w:val="24"/>
        </w:rPr>
        <w:t xml:space="preserve">Although they do not directly vote on matters of corporate governance, such as the dismissal of a CEO, bondholders do have a significant impact on the decisions made by the </w:t>
      </w:r>
      <w:r w:rsidRPr="00237E60">
        <w:rPr>
          <w:rFonts w:ascii="Times New Roman" w:hAnsi="Times New Roman" w:cs="Times New Roman"/>
          <w:sz w:val="24"/>
        </w:rPr>
        <w:lastRenderedPageBreak/>
        <w:t>company due to their debtor rights. Bondholders typically have preference over equity stockholders when it comes to asset allocation in a bankruptcy case. However, unless the business defaults or files for bankruptcy, they have no say in how the day-to-day management is run. The preservation of the bondholders' debt, including the possibility of influencing strategic choices that may affect their bankruptcy recovery, is their main goal.</w:t>
      </w:r>
    </w:p>
    <w:p w:rsidR="00237E60" w:rsidRPr="00237E60" w:rsidRDefault="00237E60" w:rsidP="00EF25EC">
      <w:pPr>
        <w:spacing w:line="360" w:lineRule="auto"/>
        <w:ind w:left="360" w:firstLine="360"/>
        <w:jc w:val="both"/>
        <w:rPr>
          <w:rFonts w:ascii="Times New Roman" w:hAnsi="Times New Roman" w:cs="Times New Roman"/>
          <w:sz w:val="24"/>
        </w:rPr>
      </w:pPr>
      <w:r w:rsidRPr="00237E60">
        <w:rPr>
          <w:rFonts w:ascii="Times New Roman" w:hAnsi="Times New Roman" w:cs="Times New Roman"/>
          <w:sz w:val="24"/>
        </w:rPr>
        <w:t xml:space="preserve">The </w:t>
      </w:r>
      <w:r w:rsidR="00EF25EC">
        <w:rPr>
          <w:rFonts w:ascii="Times New Roman" w:hAnsi="Times New Roman" w:cs="Times New Roman"/>
          <w:sz w:val="24"/>
        </w:rPr>
        <w:t>dissatisfied</w:t>
      </w:r>
      <w:r w:rsidRPr="00237E60">
        <w:rPr>
          <w:rFonts w:ascii="Times New Roman" w:hAnsi="Times New Roman" w:cs="Times New Roman"/>
          <w:sz w:val="24"/>
        </w:rPr>
        <w:t xml:space="preserve"> bondholders and shareholders may attempt to sway the board of directors or other senior managers if they both feel that the CEO's actions are against their interests (for example, the CEO's hesitancy to file for bankruptcy, which could maximize recovery for creditors and shareholders). While frustrated shareholders could band together to try to oust the CEO through a shareholder vote, if they have sufficient voting power, the bondholders could indirectly apply pressure by pursuing legal action or filing for bankruptcy.</w:t>
      </w:r>
    </w:p>
    <w:p w:rsidR="00237E60" w:rsidRDefault="00237E60" w:rsidP="00EF25EC">
      <w:pPr>
        <w:spacing w:line="360" w:lineRule="auto"/>
        <w:ind w:left="360" w:firstLine="360"/>
        <w:jc w:val="both"/>
        <w:rPr>
          <w:rFonts w:ascii="Times New Roman" w:hAnsi="Times New Roman" w:cs="Times New Roman"/>
          <w:sz w:val="24"/>
        </w:rPr>
      </w:pPr>
      <w:r w:rsidRPr="00237E60">
        <w:rPr>
          <w:rFonts w:ascii="Times New Roman" w:hAnsi="Times New Roman" w:cs="Times New Roman"/>
          <w:sz w:val="24"/>
        </w:rPr>
        <w:t>Therefore, if the bondholders share a significant proportion of the voting power and the upset shareholders are dedicated to ensuring the CEO's termination for financial reasons, they can work with the investors to remove the CEO. Although bondholders do not have direct authority to vote over the chief executive officers termination, it will be crucial to see if upset shareholders are capable of gathering the needed votes.</w:t>
      </w:r>
    </w:p>
    <w:p w:rsidR="00D969EC" w:rsidRPr="00D969EC" w:rsidRDefault="00D969EC" w:rsidP="0099756E">
      <w:pPr>
        <w:spacing w:line="360" w:lineRule="auto"/>
        <w:ind w:left="360" w:firstLine="360"/>
        <w:jc w:val="center"/>
        <w:rPr>
          <w:rFonts w:ascii="Times New Roman" w:hAnsi="Times New Roman" w:cs="Times New Roman"/>
          <w:b/>
          <w:sz w:val="24"/>
        </w:rPr>
      </w:pPr>
      <w:r w:rsidRPr="00D969EC">
        <w:rPr>
          <w:rFonts w:ascii="Times New Roman" w:hAnsi="Times New Roman" w:cs="Times New Roman"/>
          <w:b/>
          <w:sz w:val="24"/>
        </w:rPr>
        <w:t>B. Bankruptcy and the Distribution of Proceeds from Real Estate Sales (Shareholders vs. Bondholders)</w:t>
      </w:r>
    </w:p>
    <w:p w:rsidR="00D969EC" w:rsidRPr="00D969EC" w:rsidRDefault="00D969EC" w:rsidP="00D969EC">
      <w:pPr>
        <w:spacing w:line="360" w:lineRule="auto"/>
        <w:ind w:left="360" w:firstLine="360"/>
        <w:jc w:val="both"/>
        <w:rPr>
          <w:rFonts w:ascii="Times New Roman" w:hAnsi="Times New Roman" w:cs="Times New Roman"/>
          <w:sz w:val="24"/>
        </w:rPr>
      </w:pPr>
      <w:r w:rsidRPr="00D969EC">
        <w:rPr>
          <w:rFonts w:ascii="Times New Roman" w:hAnsi="Times New Roman" w:cs="Times New Roman"/>
          <w:sz w:val="24"/>
        </w:rPr>
        <w:t>In the event that AMC files for bankruptcy, the company still has $60 million in real estate. According to the absolute priority rule, which determines the order of bankruptcy claims, the earnings from the sale of the real estate will be allocated in this instance.</w:t>
      </w:r>
    </w:p>
    <w:p w:rsidR="00D969EC" w:rsidRPr="00D969EC" w:rsidRDefault="00D969EC" w:rsidP="00D969EC">
      <w:pPr>
        <w:spacing w:line="360" w:lineRule="auto"/>
        <w:ind w:left="360" w:firstLine="360"/>
        <w:jc w:val="both"/>
        <w:rPr>
          <w:rFonts w:ascii="Times New Roman" w:hAnsi="Times New Roman" w:cs="Times New Roman"/>
          <w:sz w:val="24"/>
        </w:rPr>
      </w:pPr>
      <w:r w:rsidRPr="00D969EC">
        <w:rPr>
          <w:rFonts w:ascii="Times New Roman" w:hAnsi="Times New Roman" w:cs="Times New Roman"/>
          <w:b/>
          <w:sz w:val="24"/>
        </w:rPr>
        <w:t>The Absolute Priority Rule</w:t>
      </w:r>
      <w:r>
        <w:rPr>
          <w:rFonts w:ascii="Times New Roman" w:hAnsi="Times New Roman" w:cs="Times New Roman"/>
          <w:b/>
          <w:sz w:val="24"/>
        </w:rPr>
        <w:t xml:space="preserve">: </w:t>
      </w:r>
      <w:r>
        <w:rPr>
          <w:rFonts w:ascii="Times New Roman" w:hAnsi="Times New Roman" w:cs="Times New Roman"/>
          <w:sz w:val="24"/>
        </w:rPr>
        <w:t>This rule</w:t>
      </w:r>
      <w:r w:rsidRPr="00D969EC">
        <w:rPr>
          <w:rFonts w:ascii="Times New Roman" w:hAnsi="Times New Roman" w:cs="Times New Roman"/>
          <w:sz w:val="24"/>
        </w:rPr>
        <w:t xml:space="preserve"> delineates the sequence in which creditors and stakeholders get payment from the sale of assets in the event of bankruptcy. The following is the order of the claims:</w:t>
      </w:r>
    </w:p>
    <w:p w:rsidR="00D969EC" w:rsidRPr="00D969EC" w:rsidRDefault="00D969EC" w:rsidP="00D969EC">
      <w:pPr>
        <w:pStyle w:val="ListParagraph"/>
        <w:numPr>
          <w:ilvl w:val="0"/>
          <w:numId w:val="3"/>
        </w:numPr>
        <w:spacing w:line="360" w:lineRule="auto"/>
        <w:jc w:val="both"/>
        <w:rPr>
          <w:rFonts w:ascii="Times New Roman" w:hAnsi="Times New Roman" w:cs="Times New Roman"/>
          <w:sz w:val="24"/>
        </w:rPr>
      </w:pPr>
      <w:r w:rsidRPr="00D969EC">
        <w:rPr>
          <w:rFonts w:ascii="Times New Roman" w:hAnsi="Times New Roman" w:cs="Times New Roman"/>
          <w:sz w:val="24"/>
        </w:rPr>
        <w:t>Initially, secured creditors, which include bondholders who have collateral to support their obligation,</w:t>
      </w:r>
    </w:p>
    <w:p w:rsidR="00D969EC" w:rsidRPr="00D969EC" w:rsidRDefault="00D969EC" w:rsidP="00D969EC">
      <w:pPr>
        <w:pStyle w:val="ListParagraph"/>
        <w:numPr>
          <w:ilvl w:val="0"/>
          <w:numId w:val="3"/>
        </w:numPr>
        <w:spacing w:line="360" w:lineRule="auto"/>
        <w:jc w:val="both"/>
        <w:rPr>
          <w:rFonts w:ascii="Times New Roman" w:hAnsi="Times New Roman" w:cs="Times New Roman"/>
          <w:sz w:val="24"/>
        </w:rPr>
      </w:pPr>
      <w:r w:rsidRPr="00D969EC">
        <w:rPr>
          <w:rFonts w:ascii="Times New Roman" w:hAnsi="Times New Roman" w:cs="Times New Roman"/>
          <w:sz w:val="24"/>
        </w:rPr>
        <w:t>In addition, unsecured creditors (if any),</w:t>
      </w:r>
    </w:p>
    <w:p w:rsidR="00D969EC" w:rsidRPr="00D969EC" w:rsidRDefault="00D969EC" w:rsidP="00D969EC">
      <w:pPr>
        <w:pStyle w:val="ListParagraph"/>
        <w:numPr>
          <w:ilvl w:val="0"/>
          <w:numId w:val="3"/>
        </w:numPr>
        <w:spacing w:line="360" w:lineRule="auto"/>
        <w:jc w:val="both"/>
        <w:rPr>
          <w:rFonts w:ascii="Times New Roman" w:hAnsi="Times New Roman" w:cs="Times New Roman"/>
          <w:sz w:val="24"/>
        </w:rPr>
      </w:pPr>
      <w:r w:rsidRPr="00D969EC">
        <w:rPr>
          <w:rFonts w:ascii="Times New Roman" w:hAnsi="Times New Roman" w:cs="Times New Roman"/>
          <w:sz w:val="24"/>
        </w:rPr>
        <w:t>Equity investors, or ordinary shareholders, come in third.</w:t>
      </w:r>
    </w:p>
    <w:p w:rsidR="00D969EC" w:rsidRPr="00D969EC" w:rsidRDefault="00D969EC" w:rsidP="00D969EC">
      <w:pPr>
        <w:spacing w:line="360" w:lineRule="auto"/>
        <w:ind w:left="360" w:firstLine="360"/>
        <w:jc w:val="both"/>
        <w:rPr>
          <w:rFonts w:ascii="Times New Roman" w:hAnsi="Times New Roman" w:cs="Times New Roman"/>
          <w:sz w:val="24"/>
        </w:rPr>
      </w:pPr>
      <w:r w:rsidRPr="00D969EC">
        <w:rPr>
          <w:rFonts w:ascii="Times New Roman" w:hAnsi="Times New Roman" w:cs="Times New Roman"/>
          <w:sz w:val="24"/>
        </w:rPr>
        <w:lastRenderedPageBreak/>
        <w:t>Bondholders of AMC are secured creditors due to the company's $50 million in bond debt. As a result, they will be the first to collect the real estate's assets upon sale.</w:t>
      </w:r>
    </w:p>
    <w:p w:rsidR="00D969EC" w:rsidRDefault="00D969EC" w:rsidP="00D969EC">
      <w:pPr>
        <w:spacing w:line="360" w:lineRule="auto"/>
        <w:ind w:left="360" w:firstLine="360"/>
        <w:jc w:val="both"/>
        <w:rPr>
          <w:rFonts w:ascii="Times New Roman" w:hAnsi="Times New Roman" w:cs="Times New Roman"/>
          <w:sz w:val="24"/>
        </w:rPr>
      </w:pPr>
      <w:r w:rsidRPr="00D969EC">
        <w:rPr>
          <w:rFonts w:ascii="Times New Roman" w:hAnsi="Times New Roman" w:cs="Times New Roman"/>
          <w:b/>
          <w:sz w:val="24"/>
        </w:rPr>
        <w:t>Distribution of Sale revenues:</w:t>
      </w:r>
      <w:r w:rsidRPr="00D969EC">
        <w:rPr>
          <w:rFonts w:ascii="Times New Roman" w:hAnsi="Times New Roman" w:cs="Times New Roman"/>
          <w:sz w:val="24"/>
        </w:rPr>
        <w:t xml:space="preserve"> The real estate sale revenues will mostly be used to pay off the bondholders' claims because the company is bankrupt and $50 million in bonds are owing to them. As a result, the bondholders will get $50 million, covering all of their obligations.</w:t>
      </w:r>
    </w:p>
    <w:p w:rsidR="00D969EC" w:rsidRPr="00D969EC" w:rsidRDefault="00D969EC" w:rsidP="00D969EC">
      <w:pPr>
        <w:spacing w:line="360" w:lineRule="auto"/>
        <w:ind w:left="360" w:firstLine="360"/>
        <w:jc w:val="both"/>
        <w:rPr>
          <w:rFonts w:ascii="Times New Roman" w:hAnsi="Times New Roman" w:cs="Times New Roman"/>
          <w:sz w:val="24"/>
        </w:rPr>
      </w:pPr>
      <w:r w:rsidRPr="00D969EC">
        <w:rPr>
          <w:rFonts w:ascii="Times New Roman" w:hAnsi="Times New Roman" w:cs="Times New Roman"/>
          <w:sz w:val="24"/>
        </w:rPr>
        <w:t>The remaining $10 million from the real estate sale will be made available to the shareholders for distribution. Common stockholders, on the other hand, typically receive nothing in bankruptcy if all debt obligations are satisfied because bondholders' claims take precedence over theirs</w:t>
      </w:r>
      <w:r w:rsidR="00EA6B74">
        <w:rPr>
          <w:rFonts w:ascii="Times New Roman" w:hAnsi="Times New Roman" w:cs="Times New Roman"/>
          <w:sz w:val="24"/>
        </w:rPr>
        <w:t xml:space="preserve"> (</w:t>
      </w:r>
      <w:proofErr w:type="spellStart"/>
      <w:r w:rsidR="00EA6B74" w:rsidRPr="00EA6B74">
        <w:rPr>
          <w:rFonts w:ascii="Times New Roman" w:hAnsi="Times New Roman" w:cs="Times New Roman"/>
          <w:sz w:val="24"/>
        </w:rPr>
        <w:t>E</w:t>
      </w:r>
      <w:r w:rsidR="00EA6B74">
        <w:rPr>
          <w:rFonts w:ascii="Times New Roman" w:hAnsi="Times New Roman" w:cs="Times New Roman"/>
          <w:sz w:val="24"/>
        </w:rPr>
        <w:t>berhart</w:t>
      </w:r>
      <w:proofErr w:type="spellEnd"/>
      <w:r w:rsidR="00EA6B74">
        <w:rPr>
          <w:rFonts w:ascii="Times New Roman" w:hAnsi="Times New Roman" w:cs="Times New Roman"/>
          <w:sz w:val="24"/>
        </w:rPr>
        <w:t xml:space="preserve"> &amp; Weiss, </w:t>
      </w:r>
      <w:r w:rsidR="00EA6B74" w:rsidRPr="00EA6B74">
        <w:rPr>
          <w:rFonts w:ascii="Times New Roman" w:hAnsi="Times New Roman" w:cs="Times New Roman"/>
          <w:sz w:val="24"/>
        </w:rPr>
        <w:t>1998)</w:t>
      </w:r>
      <w:r w:rsidRPr="00D969EC">
        <w:rPr>
          <w:rFonts w:ascii="Times New Roman" w:hAnsi="Times New Roman" w:cs="Times New Roman"/>
          <w:sz w:val="24"/>
        </w:rPr>
        <w:t>. As a result, bondholders will get $50 million, while stockholders will not get anything unless the assets' worth surpasses the debt.</w:t>
      </w:r>
    </w:p>
    <w:p w:rsidR="00D969EC" w:rsidRPr="00E75E5B" w:rsidRDefault="00D969EC" w:rsidP="00BC0E9A">
      <w:pPr>
        <w:spacing w:line="360" w:lineRule="auto"/>
        <w:ind w:left="360" w:firstLine="360"/>
        <w:jc w:val="center"/>
        <w:rPr>
          <w:rFonts w:ascii="Times New Roman" w:hAnsi="Times New Roman" w:cs="Times New Roman"/>
          <w:b/>
          <w:sz w:val="24"/>
        </w:rPr>
      </w:pPr>
      <w:r w:rsidRPr="00E75E5B">
        <w:rPr>
          <w:rFonts w:ascii="Times New Roman" w:hAnsi="Times New Roman" w:cs="Times New Roman"/>
          <w:b/>
          <w:sz w:val="24"/>
        </w:rPr>
        <w:t>C. Filing for bankruptcy involving common and preferred stockholders</w:t>
      </w:r>
    </w:p>
    <w:p w:rsidR="00D969EC" w:rsidRPr="00D969EC" w:rsidRDefault="00D969EC" w:rsidP="00D969EC">
      <w:pPr>
        <w:spacing w:line="360" w:lineRule="auto"/>
        <w:ind w:left="360" w:firstLine="360"/>
        <w:jc w:val="both"/>
        <w:rPr>
          <w:rFonts w:ascii="Times New Roman" w:hAnsi="Times New Roman" w:cs="Times New Roman"/>
          <w:sz w:val="24"/>
        </w:rPr>
      </w:pPr>
      <w:r w:rsidRPr="00D969EC">
        <w:rPr>
          <w:rFonts w:ascii="Times New Roman" w:hAnsi="Times New Roman" w:cs="Times New Roman"/>
          <w:sz w:val="24"/>
        </w:rPr>
        <w:t>AMC has two different types of shareholders in this scenario: common shareholders and preferred shares. The preferred shareholders owe $20 million in unpaid dividends from the previous two years</w:t>
      </w:r>
      <w:r w:rsidR="009F319E">
        <w:rPr>
          <w:rFonts w:ascii="Times New Roman" w:hAnsi="Times New Roman" w:cs="Times New Roman"/>
          <w:sz w:val="24"/>
        </w:rPr>
        <w:t xml:space="preserve"> (</w:t>
      </w:r>
      <w:proofErr w:type="spellStart"/>
      <w:r w:rsidR="009F319E">
        <w:rPr>
          <w:rFonts w:ascii="Times New Roman" w:hAnsi="Times New Roman" w:cs="Times New Roman"/>
          <w:sz w:val="24"/>
        </w:rPr>
        <w:t>Grohsgal</w:t>
      </w:r>
      <w:proofErr w:type="spellEnd"/>
      <w:r w:rsidR="009F319E">
        <w:rPr>
          <w:rFonts w:ascii="Times New Roman" w:hAnsi="Times New Roman" w:cs="Times New Roman"/>
          <w:sz w:val="24"/>
        </w:rPr>
        <w:t xml:space="preserve">, </w:t>
      </w:r>
      <w:r w:rsidR="009F319E" w:rsidRPr="009F319E">
        <w:rPr>
          <w:rFonts w:ascii="Times New Roman" w:hAnsi="Times New Roman" w:cs="Times New Roman"/>
          <w:sz w:val="24"/>
        </w:rPr>
        <w:t>201</w:t>
      </w:r>
      <w:r w:rsidR="009F319E">
        <w:rPr>
          <w:rFonts w:ascii="Times New Roman" w:hAnsi="Times New Roman" w:cs="Times New Roman"/>
          <w:sz w:val="24"/>
        </w:rPr>
        <w:t>7)</w:t>
      </w:r>
      <w:r w:rsidRPr="00D969EC">
        <w:rPr>
          <w:rFonts w:ascii="Times New Roman" w:hAnsi="Times New Roman" w:cs="Times New Roman"/>
          <w:sz w:val="24"/>
        </w:rPr>
        <w:t>. The company is filing for bankruptcy and owns $60 million worth of real estate.</w:t>
      </w:r>
    </w:p>
    <w:p w:rsidR="00D969EC" w:rsidRPr="00D969EC" w:rsidRDefault="00D969EC" w:rsidP="00D969EC">
      <w:pPr>
        <w:spacing w:line="360" w:lineRule="auto"/>
        <w:ind w:left="360" w:firstLine="360"/>
        <w:jc w:val="both"/>
        <w:rPr>
          <w:rFonts w:ascii="Times New Roman" w:hAnsi="Times New Roman" w:cs="Times New Roman"/>
          <w:sz w:val="24"/>
        </w:rPr>
      </w:pPr>
      <w:r w:rsidRPr="00D969EC">
        <w:rPr>
          <w:rFonts w:ascii="Times New Roman" w:hAnsi="Times New Roman" w:cs="Times New Roman"/>
          <w:sz w:val="24"/>
        </w:rPr>
        <w:t>The following is the order in which claims for the $60 million in a bankruptcy case are distributed</w:t>
      </w:r>
      <w:r w:rsidR="003E6D8F">
        <w:rPr>
          <w:rFonts w:ascii="Times New Roman" w:hAnsi="Times New Roman" w:cs="Times New Roman"/>
          <w:sz w:val="24"/>
        </w:rPr>
        <w:t xml:space="preserve"> (Anker, 2017)</w:t>
      </w:r>
      <w:r w:rsidRPr="00D969EC">
        <w:rPr>
          <w:rFonts w:ascii="Times New Roman" w:hAnsi="Times New Roman" w:cs="Times New Roman"/>
          <w:sz w:val="24"/>
        </w:rPr>
        <w:t>:</w:t>
      </w:r>
    </w:p>
    <w:p w:rsidR="00D969EC" w:rsidRPr="00E75E5B" w:rsidRDefault="00D969EC" w:rsidP="00E75E5B">
      <w:pPr>
        <w:pStyle w:val="ListParagraph"/>
        <w:numPr>
          <w:ilvl w:val="0"/>
          <w:numId w:val="4"/>
        </w:numPr>
        <w:spacing w:line="360" w:lineRule="auto"/>
        <w:jc w:val="both"/>
        <w:rPr>
          <w:rFonts w:ascii="Times New Roman" w:hAnsi="Times New Roman" w:cs="Times New Roman"/>
          <w:sz w:val="24"/>
        </w:rPr>
      </w:pPr>
      <w:r w:rsidRPr="00E75E5B">
        <w:rPr>
          <w:rFonts w:ascii="Times New Roman" w:hAnsi="Times New Roman" w:cs="Times New Roman"/>
          <w:sz w:val="24"/>
        </w:rPr>
        <w:t>First, secured creditors, or bondholders, who owe $50 million.</w:t>
      </w:r>
    </w:p>
    <w:p w:rsidR="00D969EC" w:rsidRPr="00E75E5B" w:rsidRDefault="00D969EC" w:rsidP="00E75E5B">
      <w:pPr>
        <w:pStyle w:val="ListParagraph"/>
        <w:numPr>
          <w:ilvl w:val="0"/>
          <w:numId w:val="4"/>
        </w:numPr>
        <w:spacing w:line="360" w:lineRule="auto"/>
        <w:jc w:val="both"/>
        <w:rPr>
          <w:rFonts w:ascii="Times New Roman" w:hAnsi="Times New Roman" w:cs="Times New Roman"/>
          <w:sz w:val="24"/>
        </w:rPr>
      </w:pPr>
      <w:r w:rsidRPr="00E75E5B">
        <w:rPr>
          <w:rFonts w:ascii="Times New Roman" w:hAnsi="Times New Roman" w:cs="Times New Roman"/>
          <w:sz w:val="24"/>
        </w:rPr>
        <w:t>Additionally, preferred stockholders who have $20 million in overdue dividends due,</w:t>
      </w:r>
    </w:p>
    <w:p w:rsidR="00D969EC" w:rsidRPr="00E75E5B" w:rsidRDefault="00D969EC" w:rsidP="00E75E5B">
      <w:pPr>
        <w:pStyle w:val="ListParagraph"/>
        <w:numPr>
          <w:ilvl w:val="0"/>
          <w:numId w:val="4"/>
        </w:numPr>
        <w:spacing w:line="360" w:lineRule="auto"/>
        <w:jc w:val="both"/>
        <w:rPr>
          <w:rFonts w:ascii="Times New Roman" w:hAnsi="Times New Roman" w:cs="Times New Roman"/>
          <w:sz w:val="24"/>
        </w:rPr>
      </w:pPr>
      <w:r w:rsidRPr="00E75E5B">
        <w:rPr>
          <w:rFonts w:ascii="Times New Roman" w:hAnsi="Times New Roman" w:cs="Times New Roman"/>
          <w:sz w:val="24"/>
        </w:rPr>
        <w:t>The third group is common stockholders.</w:t>
      </w:r>
    </w:p>
    <w:p w:rsidR="00D969EC" w:rsidRPr="00D969EC" w:rsidRDefault="00D969EC" w:rsidP="00D969EC">
      <w:pPr>
        <w:spacing w:line="360" w:lineRule="auto"/>
        <w:ind w:left="360" w:firstLine="360"/>
        <w:jc w:val="both"/>
        <w:rPr>
          <w:rFonts w:ascii="Times New Roman" w:hAnsi="Times New Roman" w:cs="Times New Roman"/>
          <w:sz w:val="24"/>
        </w:rPr>
      </w:pPr>
      <w:r w:rsidRPr="00D969EC">
        <w:rPr>
          <w:rFonts w:ascii="Times New Roman" w:hAnsi="Times New Roman" w:cs="Times New Roman"/>
          <w:sz w:val="24"/>
        </w:rPr>
        <w:t>When the real estate is sold, the first $50 million will go to bondholders. The preferred shareholders come next once the bondholders are satisfied</w:t>
      </w:r>
      <w:r w:rsidR="00DB5D8B">
        <w:rPr>
          <w:rFonts w:ascii="Times New Roman" w:hAnsi="Times New Roman" w:cs="Times New Roman"/>
          <w:sz w:val="24"/>
        </w:rPr>
        <w:t xml:space="preserve"> (</w:t>
      </w:r>
      <w:r w:rsidR="00DB5D8B" w:rsidRPr="00DB5D8B">
        <w:rPr>
          <w:rFonts w:ascii="Times New Roman" w:hAnsi="Times New Roman" w:cs="Times New Roman"/>
          <w:sz w:val="24"/>
        </w:rPr>
        <w:t>Flores</w:t>
      </w:r>
      <w:r w:rsidR="00BC0E9A">
        <w:rPr>
          <w:rFonts w:ascii="Times New Roman" w:hAnsi="Times New Roman" w:cs="Times New Roman"/>
          <w:sz w:val="24"/>
        </w:rPr>
        <w:t xml:space="preserve"> </w:t>
      </w:r>
      <w:proofErr w:type="spellStart"/>
      <w:r w:rsidR="00DB5D8B" w:rsidRPr="00DB5D8B">
        <w:rPr>
          <w:rFonts w:ascii="Times New Roman" w:hAnsi="Times New Roman" w:cs="Times New Roman"/>
          <w:sz w:val="24"/>
        </w:rPr>
        <w:t>Szwagrzak</w:t>
      </w:r>
      <w:proofErr w:type="spellEnd"/>
      <w:r w:rsidR="00DB5D8B" w:rsidRPr="00DB5D8B">
        <w:rPr>
          <w:rFonts w:ascii="Times New Roman" w:hAnsi="Times New Roman" w:cs="Times New Roman"/>
          <w:sz w:val="24"/>
        </w:rPr>
        <w:t xml:space="preserve">, </w:t>
      </w:r>
      <w:proofErr w:type="spellStart"/>
      <w:r w:rsidR="00DB5D8B">
        <w:rPr>
          <w:rFonts w:ascii="Times New Roman" w:hAnsi="Times New Roman" w:cs="Times New Roman"/>
          <w:sz w:val="24"/>
        </w:rPr>
        <w:t>García</w:t>
      </w:r>
      <w:proofErr w:type="spellEnd"/>
      <w:r w:rsidR="00BC0E9A">
        <w:rPr>
          <w:rFonts w:ascii="Times New Roman" w:hAnsi="Times New Roman" w:cs="Times New Roman"/>
          <w:sz w:val="24"/>
        </w:rPr>
        <w:t xml:space="preserve"> </w:t>
      </w:r>
      <w:proofErr w:type="spellStart"/>
      <w:r w:rsidR="00DB5D8B">
        <w:rPr>
          <w:rFonts w:ascii="Times New Roman" w:hAnsi="Times New Roman" w:cs="Times New Roman"/>
          <w:sz w:val="24"/>
        </w:rPr>
        <w:t>Segarra</w:t>
      </w:r>
      <w:proofErr w:type="spellEnd"/>
      <w:r w:rsidR="00DB5D8B" w:rsidRPr="00DB5D8B">
        <w:rPr>
          <w:rFonts w:ascii="Times New Roman" w:hAnsi="Times New Roman" w:cs="Times New Roman"/>
          <w:sz w:val="24"/>
        </w:rPr>
        <w:t xml:space="preserve"> &amp; </w:t>
      </w:r>
      <w:proofErr w:type="spellStart"/>
      <w:r w:rsidR="00DB5D8B" w:rsidRPr="00DB5D8B">
        <w:rPr>
          <w:rFonts w:ascii="Times New Roman" w:hAnsi="Times New Roman" w:cs="Times New Roman"/>
          <w:sz w:val="24"/>
        </w:rPr>
        <w:t>Ginés</w:t>
      </w:r>
      <w:proofErr w:type="spellEnd"/>
      <w:r w:rsidR="00BC0E9A">
        <w:rPr>
          <w:rFonts w:ascii="Times New Roman" w:hAnsi="Times New Roman" w:cs="Times New Roman"/>
          <w:sz w:val="24"/>
        </w:rPr>
        <w:t xml:space="preserve"> </w:t>
      </w:r>
      <w:proofErr w:type="spellStart"/>
      <w:r w:rsidR="00DB5D8B" w:rsidRPr="00DB5D8B">
        <w:rPr>
          <w:rFonts w:ascii="Times New Roman" w:hAnsi="Times New Roman" w:cs="Times New Roman"/>
          <w:sz w:val="24"/>
        </w:rPr>
        <w:t>Vilar</w:t>
      </w:r>
      <w:proofErr w:type="spellEnd"/>
      <w:r w:rsidR="00DB5D8B" w:rsidRPr="00DB5D8B">
        <w:rPr>
          <w:rFonts w:ascii="Times New Roman" w:hAnsi="Times New Roman" w:cs="Times New Roman"/>
          <w:sz w:val="24"/>
        </w:rPr>
        <w:t>,</w:t>
      </w:r>
      <w:r w:rsidR="00DB5D8B">
        <w:rPr>
          <w:rFonts w:ascii="Times New Roman" w:hAnsi="Times New Roman" w:cs="Times New Roman"/>
          <w:sz w:val="24"/>
        </w:rPr>
        <w:t xml:space="preserve"> </w:t>
      </w:r>
      <w:r w:rsidR="00DB5D8B" w:rsidRPr="00DB5D8B">
        <w:rPr>
          <w:rFonts w:ascii="Times New Roman" w:hAnsi="Times New Roman" w:cs="Times New Roman"/>
          <w:sz w:val="24"/>
        </w:rPr>
        <w:t>2020)</w:t>
      </w:r>
      <w:r w:rsidRPr="00D969EC">
        <w:rPr>
          <w:rFonts w:ascii="Times New Roman" w:hAnsi="Times New Roman" w:cs="Times New Roman"/>
          <w:sz w:val="24"/>
        </w:rPr>
        <w:t>.</w:t>
      </w:r>
    </w:p>
    <w:p w:rsidR="00D969EC" w:rsidRPr="00D969EC" w:rsidRDefault="00D969EC" w:rsidP="00D969EC">
      <w:pPr>
        <w:spacing w:line="360" w:lineRule="auto"/>
        <w:ind w:left="360" w:firstLine="360"/>
        <w:jc w:val="both"/>
        <w:rPr>
          <w:rFonts w:ascii="Times New Roman" w:hAnsi="Times New Roman" w:cs="Times New Roman"/>
          <w:sz w:val="24"/>
        </w:rPr>
      </w:pPr>
      <w:r w:rsidRPr="00E75E5B">
        <w:rPr>
          <w:rFonts w:ascii="Times New Roman" w:hAnsi="Times New Roman" w:cs="Times New Roman"/>
          <w:b/>
          <w:sz w:val="24"/>
        </w:rPr>
        <w:lastRenderedPageBreak/>
        <w:t>Claims of Preferred Shareholders</w:t>
      </w:r>
      <w:r w:rsidRPr="00D969EC">
        <w:rPr>
          <w:rFonts w:ascii="Times New Roman" w:hAnsi="Times New Roman" w:cs="Times New Roman"/>
          <w:sz w:val="24"/>
        </w:rPr>
        <w:t>: After bondholders' claims are resolved, preferred shareholders will receive their $20 million in overdue dividends from the real estate sale's residual proceeds. As a result, $20 million will go to the preferred shareholders.</w:t>
      </w:r>
    </w:p>
    <w:p w:rsidR="00D969EC" w:rsidRDefault="00D969EC" w:rsidP="00D969EC">
      <w:pPr>
        <w:spacing w:line="360" w:lineRule="auto"/>
        <w:ind w:left="360" w:firstLine="360"/>
        <w:jc w:val="both"/>
        <w:rPr>
          <w:rFonts w:ascii="Times New Roman" w:hAnsi="Times New Roman" w:cs="Times New Roman"/>
          <w:sz w:val="24"/>
        </w:rPr>
      </w:pPr>
      <w:r w:rsidRPr="00E75E5B">
        <w:rPr>
          <w:rFonts w:ascii="Times New Roman" w:hAnsi="Times New Roman" w:cs="Times New Roman"/>
          <w:b/>
          <w:sz w:val="24"/>
        </w:rPr>
        <w:t>Common Shareholder Distribution:</w:t>
      </w:r>
      <w:r w:rsidRPr="00D969EC">
        <w:rPr>
          <w:rFonts w:ascii="Times New Roman" w:hAnsi="Times New Roman" w:cs="Times New Roman"/>
          <w:sz w:val="24"/>
        </w:rPr>
        <w:t xml:space="preserve"> Any money left over after bondholders and preferred shareholders have been paid off will be distributed to common shareholders.</w:t>
      </w:r>
    </w:p>
    <w:p w:rsidR="005D2434" w:rsidRPr="005D2434" w:rsidRDefault="005D2434" w:rsidP="005D2434">
      <w:pPr>
        <w:spacing w:line="360" w:lineRule="auto"/>
        <w:ind w:left="360" w:firstLine="360"/>
        <w:jc w:val="both"/>
        <w:rPr>
          <w:rFonts w:ascii="Times New Roman" w:hAnsi="Times New Roman" w:cs="Times New Roman"/>
          <w:sz w:val="24"/>
        </w:rPr>
      </w:pPr>
      <w:r w:rsidRPr="005D2434">
        <w:rPr>
          <w:rFonts w:ascii="Times New Roman" w:hAnsi="Times New Roman" w:cs="Times New Roman"/>
          <w:sz w:val="24"/>
        </w:rPr>
        <w:t>In this instance, the amount that is remaining after investors and preferred stock holders are compensated as:</w:t>
      </w:r>
    </w:p>
    <w:p w:rsidR="005D2434" w:rsidRPr="005D2434" w:rsidRDefault="005D2434" w:rsidP="005D2434">
      <w:pPr>
        <w:spacing w:line="360" w:lineRule="auto"/>
        <w:ind w:left="360" w:firstLine="360"/>
        <w:jc w:val="both"/>
        <w:rPr>
          <w:rFonts w:ascii="Times New Roman" w:hAnsi="Times New Roman" w:cs="Times New Roman"/>
          <w:sz w:val="24"/>
        </w:rPr>
      </w:pPr>
      <w:r w:rsidRPr="005D2434">
        <w:rPr>
          <w:rFonts w:ascii="Times New Roman" w:hAnsi="Times New Roman" w:cs="Times New Roman"/>
          <w:sz w:val="24"/>
        </w:rPr>
        <w:t>60,</w:t>
      </w:r>
      <w:r>
        <w:rPr>
          <w:rFonts w:ascii="Times New Roman" w:hAnsi="Times New Roman" w:cs="Times New Roman"/>
          <w:sz w:val="24"/>
        </w:rPr>
        <w:t>000</w:t>
      </w:r>
      <w:r w:rsidRPr="005D2434">
        <w:rPr>
          <w:rFonts w:ascii="Times New Roman" w:hAnsi="Times New Roman" w:cs="Times New Roman"/>
          <w:sz w:val="24"/>
        </w:rPr>
        <w:t>,000</w:t>
      </w:r>
      <w:r>
        <w:rPr>
          <w:rFonts w:ascii="Times New Roman" w:hAnsi="Times New Roman" w:cs="Times New Roman"/>
          <w:sz w:val="24"/>
        </w:rPr>
        <w:t xml:space="preserve"> – </w:t>
      </w:r>
      <w:r w:rsidRPr="005D2434">
        <w:rPr>
          <w:rFonts w:ascii="Times New Roman" w:hAnsi="Times New Roman" w:cs="Times New Roman"/>
          <w:sz w:val="24"/>
        </w:rPr>
        <w:t>50,000,</w:t>
      </w:r>
      <w:r>
        <w:rPr>
          <w:rFonts w:ascii="Times New Roman" w:hAnsi="Times New Roman" w:cs="Times New Roman"/>
          <w:sz w:val="24"/>
        </w:rPr>
        <w:t xml:space="preserve">000 </w:t>
      </w:r>
      <w:r w:rsidRPr="005D2434">
        <w:rPr>
          <w:rFonts w:ascii="Times New Roman" w:hAnsi="Times New Roman" w:cs="Times New Roman"/>
          <w:sz w:val="24"/>
        </w:rPr>
        <w:t>−</w:t>
      </w:r>
      <w:r>
        <w:rPr>
          <w:rFonts w:ascii="Times New Roman" w:hAnsi="Times New Roman" w:cs="Times New Roman"/>
          <w:sz w:val="24"/>
        </w:rPr>
        <w:t xml:space="preserve"> </w:t>
      </w:r>
      <w:r w:rsidRPr="005D2434">
        <w:rPr>
          <w:rFonts w:ascii="Times New Roman" w:hAnsi="Times New Roman" w:cs="Times New Roman"/>
          <w:sz w:val="24"/>
        </w:rPr>
        <w:t>20,000,000</w:t>
      </w:r>
      <w:r>
        <w:rPr>
          <w:rFonts w:ascii="Times New Roman" w:hAnsi="Times New Roman" w:cs="Times New Roman"/>
          <w:sz w:val="24"/>
        </w:rPr>
        <w:t xml:space="preserve"> </w:t>
      </w:r>
      <w:r w:rsidRPr="005D2434">
        <w:rPr>
          <w:rFonts w:ascii="Times New Roman" w:hAnsi="Times New Roman" w:cs="Times New Roman"/>
          <w:sz w:val="24"/>
        </w:rPr>
        <w:t>=</w:t>
      </w:r>
      <w:r>
        <w:rPr>
          <w:rFonts w:ascii="Times New Roman" w:hAnsi="Times New Roman" w:cs="Times New Roman"/>
          <w:sz w:val="24"/>
        </w:rPr>
        <w:t xml:space="preserve"> </w:t>
      </w:r>
      <w:r w:rsidRPr="005D2434">
        <w:rPr>
          <w:rFonts w:ascii="Times New Roman" w:hAnsi="Times New Roman" w:cs="Times New Roman"/>
          <w:sz w:val="24"/>
        </w:rPr>
        <w:t>−</w:t>
      </w:r>
      <w:r>
        <w:rPr>
          <w:rFonts w:ascii="Times New Roman" w:hAnsi="Times New Roman" w:cs="Times New Roman"/>
          <w:sz w:val="24"/>
        </w:rPr>
        <w:t xml:space="preserve"> </w:t>
      </w:r>
      <w:r w:rsidRPr="005D2434">
        <w:rPr>
          <w:rFonts w:ascii="Times New Roman" w:hAnsi="Times New Roman" w:cs="Times New Roman"/>
          <w:sz w:val="24"/>
        </w:rPr>
        <w:t>10,000,000</w:t>
      </w:r>
    </w:p>
    <w:p w:rsidR="005D2434" w:rsidRPr="005D2434" w:rsidRDefault="005D2434" w:rsidP="005D2434">
      <w:pPr>
        <w:spacing w:line="360" w:lineRule="auto"/>
        <w:ind w:left="360" w:firstLine="360"/>
        <w:jc w:val="both"/>
        <w:rPr>
          <w:rFonts w:ascii="Times New Roman" w:hAnsi="Times New Roman" w:cs="Times New Roman"/>
          <w:sz w:val="24"/>
        </w:rPr>
      </w:pPr>
      <w:r w:rsidRPr="005D2434">
        <w:rPr>
          <w:rFonts w:ascii="Times New Roman" w:hAnsi="Times New Roman" w:cs="Times New Roman"/>
          <w:sz w:val="24"/>
        </w:rPr>
        <w:t>This suggests that there is no money left over for the ordinary shareholders after creditors and the owners of preferred stocks have had their financial obligations paid off</w:t>
      </w:r>
      <w:r>
        <w:rPr>
          <w:rFonts w:ascii="Times New Roman" w:hAnsi="Times New Roman" w:cs="Times New Roman"/>
          <w:sz w:val="24"/>
        </w:rPr>
        <w:t xml:space="preserve"> (</w:t>
      </w:r>
      <w:proofErr w:type="spellStart"/>
      <w:r>
        <w:rPr>
          <w:rFonts w:ascii="Times New Roman" w:hAnsi="Times New Roman" w:cs="Times New Roman"/>
          <w:sz w:val="24"/>
        </w:rPr>
        <w:t>Iyer</w:t>
      </w:r>
      <w:proofErr w:type="spellEnd"/>
      <w:r>
        <w:rPr>
          <w:rFonts w:ascii="Times New Roman" w:hAnsi="Times New Roman" w:cs="Times New Roman"/>
          <w:sz w:val="24"/>
        </w:rPr>
        <w:t xml:space="preserve"> &amp; Prasad, </w:t>
      </w:r>
      <w:r w:rsidRPr="005D2434">
        <w:rPr>
          <w:rFonts w:ascii="Times New Roman" w:hAnsi="Times New Roman" w:cs="Times New Roman"/>
          <w:sz w:val="24"/>
        </w:rPr>
        <w:t>2025). Thus, in the event of declaring bankruptcy, common shareholders of the company do not receive any kind of reimbursement.</w:t>
      </w:r>
    </w:p>
    <w:p w:rsidR="005D2434" w:rsidRPr="005D2434" w:rsidRDefault="005D2434" w:rsidP="003E36D8">
      <w:pPr>
        <w:spacing w:line="360" w:lineRule="auto"/>
        <w:jc w:val="center"/>
        <w:rPr>
          <w:rFonts w:ascii="Times New Roman" w:hAnsi="Times New Roman" w:cs="Times New Roman"/>
          <w:b/>
          <w:sz w:val="24"/>
        </w:rPr>
      </w:pPr>
      <w:r w:rsidRPr="005D2434">
        <w:rPr>
          <w:rFonts w:ascii="Times New Roman" w:hAnsi="Times New Roman" w:cs="Times New Roman"/>
          <w:b/>
          <w:sz w:val="24"/>
        </w:rPr>
        <w:t>Conclusion</w:t>
      </w:r>
    </w:p>
    <w:p w:rsidR="005D2434" w:rsidRPr="005D2434" w:rsidRDefault="005D2434" w:rsidP="005D2434">
      <w:pPr>
        <w:spacing w:line="360" w:lineRule="auto"/>
        <w:ind w:left="360" w:firstLine="360"/>
        <w:jc w:val="both"/>
        <w:rPr>
          <w:rFonts w:ascii="Times New Roman" w:hAnsi="Times New Roman" w:cs="Times New Roman"/>
          <w:sz w:val="24"/>
        </w:rPr>
      </w:pPr>
      <w:r w:rsidRPr="005D2434">
        <w:rPr>
          <w:rFonts w:ascii="Times New Roman" w:hAnsi="Times New Roman" w:cs="Times New Roman"/>
          <w:sz w:val="24"/>
        </w:rPr>
        <w:t xml:space="preserve">If bond holders have a sizable enough proportion of voting power, they can come together with the unhappy shareholders in removing the CEO. Though creditors rarely explicitly decide to remove the CEO, their goals </w:t>
      </w:r>
      <w:r>
        <w:rPr>
          <w:rFonts w:ascii="Times New Roman" w:hAnsi="Times New Roman" w:cs="Times New Roman"/>
          <w:sz w:val="24"/>
        </w:rPr>
        <w:t xml:space="preserve">might line up with those of the </w:t>
      </w:r>
      <w:r w:rsidRPr="005D2434">
        <w:rPr>
          <w:rFonts w:ascii="Times New Roman" w:hAnsi="Times New Roman" w:cs="Times New Roman"/>
          <w:sz w:val="24"/>
        </w:rPr>
        <w:t>stockholders, particularly during the circumstance of insolvency.</w:t>
      </w:r>
    </w:p>
    <w:p w:rsidR="00E75E5B" w:rsidRDefault="005D2434" w:rsidP="005D2434">
      <w:pPr>
        <w:spacing w:line="360" w:lineRule="auto"/>
        <w:ind w:left="360" w:firstLine="360"/>
        <w:jc w:val="both"/>
        <w:rPr>
          <w:rFonts w:ascii="Times New Roman" w:hAnsi="Times New Roman" w:cs="Times New Roman"/>
          <w:sz w:val="24"/>
        </w:rPr>
      </w:pPr>
      <w:r w:rsidRPr="005D2434">
        <w:rPr>
          <w:rFonts w:ascii="Times New Roman" w:hAnsi="Times New Roman" w:cs="Times New Roman"/>
          <w:sz w:val="24"/>
        </w:rPr>
        <w:t>The bondholders, who are considered as secured creditors, are entitled to the full $ 50 million for paying off their loans if AMC is selling its real estate for a price of $60 million in liquidation. In the event of bankruptcy, the common shareholders achieve absolutely nothing if their financial commitments are solely paid for, but the remaining $10 million, if any, will go to the investors.</w:t>
      </w:r>
    </w:p>
    <w:p w:rsidR="005D2434" w:rsidRDefault="005D2434" w:rsidP="005D2434">
      <w:pPr>
        <w:spacing w:line="360" w:lineRule="auto"/>
        <w:ind w:left="360" w:firstLine="360"/>
        <w:jc w:val="both"/>
        <w:rPr>
          <w:rFonts w:ascii="Times New Roman" w:hAnsi="Times New Roman" w:cs="Times New Roman"/>
          <w:sz w:val="24"/>
        </w:rPr>
      </w:pPr>
      <w:r w:rsidRPr="005D2434">
        <w:rPr>
          <w:rFonts w:ascii="Times New Roman" w:hAnsi="Times New Roman" w:cs="Times New Roman"/>
          <w:sz w:val="24"/>
        </w:rPr>
        <w:t>In a bankruptcy involving preferred and common shareholders, bondholders receive their money first, and then preferred stockholders, who are due $20 million in unpaid dividends, come in second. After the bondholders and the preferred shareholders have been satisfied, the common shareholders regrettably receive no more money.</w:t>
      </w:r>
    </w:p>
    <w:p w:rsidR="003E36D8" w:rsidRDefault="003E36D8" w:rsidP="00CB4AFC">
      <w:pPr>
        <w:spacing w:line="360" w:lineRule="auto"/>
        <w:ind w:left="360" w:firstLine="360"/>
        <w:jc w:val="center"/>
        <w:rPr>
          <w:rFonts w:ascii="Times New Roman" w:hAnsi="Times New Roman" w:cs="Times New Roman"/>
          <w:b/>
          <w:sz w:val="24"/>
        </w:rPr>
      </w:pPr>
    </w:p>
    <w:p w:rsidR="005D2434" w:rsidRPr="00CB4AFC" w:rsidRDefault="00CB4AFC" w:rsidP="00CB4AFC">
      <w:pPr>
        <w:spacing w:line="360" w:lineRule="auto"/>
        <w:ind w:left="360" w:firstLine="360"/>
        <w:jc w:val="center"/>
        <w:rPr>
          <w:rFonts w:ascii="Times New Roman" w:hAnsi="Times New Roman" w:cs="Times New Roman"/>
          <w:b/>
          <w:sz w:val="24"/>
        </w:rPr>
      </w:pPr>
      <w:r w:rsidRPr="00CB4AFC">
        <w:rPr>
          <w:rFonts w:ascii="Times New Roman" w:hAnsi="Times New Roman" w:cs="Times New Roman"/>
          <w:b/>
          <w:sz w:val="24"/>
        </w:rPr>
        <w:lastRenderedPageBreak/>
        <w:t>References</w:t>
      </w:r>
    </w:p>
    <w:p w:rsidR="00370879" w:rsidRPr="00CB4AFC" w:rsidRDefault="00370879" w:rsidP="00370879">
      <w:pPr>
        <w:pStyle w:val="NormalWeb"/>
        <w:spacing w:line="360" w:lineRule="auto"/>
        <w:ind w:left="1440" w:hanging="720"/>
        <w:jc w:val="both"/>
      </w:pPr>
      <w:bookmarkStart w:id="0" w:name="_GoBack"/>
      <w:bookmarkEnd w:id="0"/>
      <w:r w:rsidRPr="00CB4AFC">
        <w:t xml:space="preserve">Anker, P. (2017, August 22). </w:t>
      </w:r>
      <w:r w:rsidRPr="00CB4AFC">
        <w:rPr>
          <w:rStyle w:val="Emphasis"/>
        </w:rPr>
        <w:t>The “Absolute Priority Rule” and Other “Rules” of “Priority” in Bankruptcy</w:t>
      </w:r>
      <w:r w:rsidRPr="00CB4AFC">
        <w:t xml:space="preserve">. </w:t>
      </w:r>
      <w:proofErr w:type="spellStart"/>
      <w:r w:rsidRPr="00CB4AFC">
        <w:t>WilmerHale</w:t>
      </w:r>
      <w:proofErr w:type="spellEnd"/>
      <w:r w:rsidRPr="00CB4AFC">
        <w:t xml:space="preserve">. </w:t>
      </w:r>
      <w:hyperlink r:id="rId7" w:tgtFrame="_new" w:history="1">
        <w:r w:rsidRPr="00CB4AFC">
          <w:rPr>
            <w:rStyle w:val="Hyperlink"/>
            <w:color w:val="auto"/>
          </w:rPr>
          <w:t>https://www.wilmerhale.com/en/insights/publications/2017-08-22-the-absolute-priority-rule-and-other-rules-of-priority-in-bankruptcy</w:t>
        </w:r>
      </w:hyperlink>
    </w:p>
    <w:p w:rsidR="00370879" w:rsidRPr="00CB4AFC" w:rsidRDefault="00370879" w:rsidP="00370879">
      <w:pPr>
        <w:pStyle w:val="NormalWeb"/>
        <w:spacing w:line="360" w:lineRule="auto"/>
        <w:ind w:left="1440" w:hanging="720"/>
        <w:jc w:val="both"/>
      </w:pPr>
      <w:r w:rsidRPr="00CB4AFC">
        <w:t xml:space="preserve">D’Amico, G., &amp; De </w:t>
      </w:r>
      <w:proofErr w:type="spellStart"/>
      <w:r w:rsidRPr="00CB4AFC">
        <w:t>Blasis</w:t>
      </w:r>
      <w:proofErr w:type="spellEnd"/>
      <w:r w:rsidRPr="00CB4AFC">
        <w:t xml:space="preserve">, R. (2020). </w:t>
      </w:r>
      <w:r w:rsidRPr="00CB4AFC">
        <w:rPr>
          <w:rStyle w:val="Emphasis"/>
        </w:rPr>
        <w:t>A review of the Dividend Discount Model: from deterministic to stochastic models</w:t>
      </w:r>
      <w:r w:rsidRPr="00CB4AFC">
        <w:t xml:space="preserve"> (</w:t>
      </w:r>
      <w:proofErr w:type="spellStart"/>
      <w:r w:rsidRPr="00CB4AFC">
        <w:t>RePEc</w:t>
      </w:r>
      <w:proofErr w:type="spellEnd"/>
      <w:r w:rsidRPr="00CB4AFC">
        <w:t xml:space="preserve"> working paper). Retrieved from </w:t>
      </w:r>
      <w:hyperlink r:id="rId8" w:tgtFrame="_new" w:history="1">
        <w:r w:rsidRPr="00CB4AFC">
          <w:rPr>
            <w:rStyle w:val="Hyperlink"/>
            <w:color w:val="auto"/>
          </w:rPr>
          <w:t>https://ideas.repec.org/p/arx/papers/2001.00465.html</w:t>
        </w:r>
      </w:hyperlink>
      <w:r w:rsidRPr="00CB4AFC">
        <w:t xml:space="preserve"> </w:t>
      </w:r>
      <w:hyperlink r:id="rId9" w:tgtFrame="_blank" w:history="1">
        <w:r w:rsidRPr="00CB4AFC">
          <w:rPr>
            <w:rStyle w:val="max-w-15ch"/>
            <w:u w:val="single"/>
          </w:rPr>
          <w:t>IDEAS/</w:t>
        </w:r>
        <w:proofErr w:type="spellStart"/>
        <w:r w:rsidRPr="00CB4AFC">
          <w:rPr>
            <w:rStyle w:val="max-w-15ch"/>
            <w:u w:val="single"/>
          </w:rPr>
          <w:t>RePEc</w:t>
        </w:r>
        <w:proofErr w:type="spellEnd"/>
      </w:hyperlink>
    </w:p>
    <w:p w:rsidR="00370879" w:rsidRPr="00CB4AFC" w:rsidRDefault="00370879" w:rsidP="00370879">
      <w:pPr>
        <w:pStyle w:val="NormalWeb"/>
        <w:spacing w:line="360" w:lineRule="auto"/>
        <w:ind w:left="1440" w:hanging="720"/>
        <w:jc w:val="both"/>
      </w:pPr>
      <w:proofErr w:type="spellStart"/>
      <w:r w:rsidRPr="00CB4AFC">
        <w:t>Eberhart</w:t>
      </w:r>
      <w:proofErr w:type="spellEnd"/>
      <w:r w:rsidRPr="00CB4AFC">
        <w:t xml:space="preserve">, A. C., &amp; Weiss, L. A. (1998). The importance of deviations from the absolute priority rule in Chapter 11 bankruptcy proceedings. </w:t>
      </w:r>
      <w:r w:rsidRPr="00CB4AFC">
        <w:rPr>
          <w:rStyle w:val="Emphasis"/>
        </w:rPr>
        <w:t>Financial Management</w:t>
      </w:r>
      <w:r w:rsidRPr="00CB4AFC">
        <w:t>, 27(3), 285</w:t>
      </w:r>
      <w:r w:rsidRPr="00CB4AFC">
        <w:noBreakHyphen/>
        <w:t xml:space="preserve">314. </w:t>
      </w:r>
      <w:hyperlink r:id="rId10" w:tgtFrame="_new" w:history="1">
        <w:r w:rsidRPr="00CB4AFC">
          <w:rPr>
            <w:rStyle w:val="Hyperlink"/>
            <w:color w:val="auto"/>
          </w:rPr>
          <w:t>https://ideas.repec.org/a/fma/fmanag/eberhart98.html</w:t>
        </w:r>
      </w:hyperlink>
      <w:r w:rsidRPr="00CB4AFC">
        <w:t xml:space="preserve"> </w:t>
      </w:r>
      <w:hyperlink r:id="rId11" w:tgtFrame="_blank" w:history="1">
        <w:r w:rsidRPr="00CB4AFC">
          <w:rPr>
            <w:rStyle w:val="max-w-15ch"/>
            <w:u w:val="single"/>
          </w:rPr>
          <w:t>IDEAS/</w:t>
        </w:r>
        <w:proofErr w:type="spellStart"/>
        <w:r w:rsidRPr="00CB4AFC">
          <w:rPr>
            <w:rStyle w:val="max-w-15ch"/>
            <w:u w:val="single"/>
          </w:rPr>
          <w:t>RePEc</w:t>
        </w:r>
        <w:proofErr w:type="spellEnd"/>
      </w:hyperlink>
    </w:p>
    <w:p w:rsidR="00370879" w:rsidRPr="00CB4AFC" w:rsidRDefault="00370879" w:rsidP="00370879">
      <w:pPr>
        <w:pStyle w:val="NormalWeb"/>
        <w:spacing w:line="360" w:lineRule="auto"/>
        <w:ind w:left="1440" w:hanging="720"/>
        <w:jc w:val="both"/>
      </w:pPr>
      <w:r w:rsidRPr="00CB4AFC">
        <w:t>Flores</w:t>
      </w:r>
      <w:r w:rsidRPr="00CB4AFC">
        <w:noBreakHyphen/>
      </w:r>
      <w:proofErr w:type="spellStart"/>
      <w:r w:rsidRPr="00CB4AFC">
        <w:t>Szwagrzak</w:t>
      </w:r>
      <w:proofErr w:type="spellEnd"/>
      <w:r w:rsidRPr="00CB4AFC">
        <w:t xml:space="preserve">, K., </w:t>
      </w:r>
      <w:proofErr w:type="spellStart"/>
      <w:r w:rsidRPr="00CB4AFC">
        <w:t>García</w:t>
      </w:r>
      <w:r w:rsidRPr="00CB4AFC">
        <w:noBreakHyphen/>
        <w:t>Segarra</w:t>
      </w:r>
      <w:proofErr w:type="spellEnd"/>
      <w:r w:rsidRPr="00CB4AFC">
        <w:t xml:space="preserve">, J., &amp; </w:t>
      </w:r>
      <w:proofErr w:type="spellStart"/>
      <w:r w:rsidRPr="00CB4AFC">
        <w:t>Ginés</w:t>
      </w:r>
      <w:r w:rsidRPr="00CB4AFC">
        <w:noBreakHyphen/>
        <w:t>Vilar</w:t>
      </w:r>
      <w:proofErr w:type="spellEnd"/>
      <w:r w:rsidRPr="00CB4AFC">
        <w:t xml:space="preserve">, M. (2020). Priority and proportionality in bankruptcy. </w:t>
      </w:r>
      <w:r w:rsidRPr="00CB4AFC">
        <w:rPr>
          <w:rStyle w:val="Emphasis"/>
        </w:rPr>
        <w:t>Social Choice and Welfare, 54</w:t>
      </w:r>
      <w:r w:rsidRPr="00CB4AFC">
        <w:t>(3), 559</w:t>
      </w:r>
      <w:r w:rsidRPr="00CB4AFC">
        <w:noBreakHyphen/>
        <w:t xml:space="preserve">579. https://doi.org/10.1007/s00355-019-01219-0 </w:t>
      </w:r>
      <w:hyperlink r:id="rId12" w:tgtFrame="_blank" w:history="1">
        <w:proofErr w:type="spellStart"/>
        <w:r w:rsidRPr="00CB4AFC">
          <w:rPr>
            <w:rStyle w:val="max-w-15ch"/>
            <w:u w:val="single"/>
          </w:rPr>
          <w:t>SpringerLink</w:t>
        </w:r>
        <w:proofErr w:type="spellEnd"/>
      </w:hyperlink>
    </w:p>
    <w:p w:rsidR="00370879" w:rsidRPr="00CB4AFC" w:rsidRDefault="00370879" w:rsidP="00370879">
      <w:pPr>
        <w:pStyle w:val="NormalWeb"/>
        <w:spacing w:line="360" w:lineRule="auto"/>
        <w:ind w:left="1440" w:hanging="720"/>
        <w:jc w:val="both"/>
      </w:pPr>
      <w:proofErr w:type="spellStart"/>
      <w:r w:rsidRPr="00CB4AFC">
        <w:t>Grohsgal</w:t>
      </w:r>
      <w:proofErr w:type="spellEnd"/>
      <w:r w:rsidRPr="00CB4AFC">
        <w:t xml:space="preserve">, B. (2017). </w:t>
      </w:r>
      <w:r w:rsidRPr="00CB4AFC">
        <w:rPr>
          <w:rStyle w:val="Emphasis"/>
        </w:rPr>
        <w:t>How absolute is the absolute priority rule in bankruptcy? The case for structured dismissals</w:t>
      </w:r>
      <w:r w:rsidRPr="00CB4AFC">
        <w:t>. William &amp; Mary Business Law Review, 8(3), 439</w:t>
      </w:r>
      <w:r w:rsidRPr="00CB4AFC">
        <w:noBreakHyphen/>
        <w:t xml:space="preserve">? </w:t>
      </w:r>
      <w:hyperlink r:id="rId13" w:tgtFrame="_new" w:history="1">
        <w:r w:rsidRPr="00CB4AFC">
          <w:rPr>
            <w:rStyle w:val="Hyperlink"/>
            <w:color w:val="auto"/>
          </w:rPr>
          <w:t>https://scholarship.law.wm.edu/wmblr/vol8/iss3/3</w:t>
        </w:r>
      </w:hyperlink>
      <w:r w:rsidRPr="00CB4AFC">
        <w:t xml:space="preserve"> </w:t>
      </w:r>
      <w:hyperlink r:id="rId14" w:tgtFrame="_blank" w:history="1">
        <w:r w:rsidRPr="00CB4AFC">
          <w:rPr>
            <w:rStyle w:val="max-w-15ch"/>
            <w:u w:val="single"/>
          </w:rPr>
          <w:t>scholarship.law.wm.edu</w:t>
        </w:r>
      </w:hyperlink>
    </w:p>
    <w:p w:rsidR="00370879" w:rsidRPr="00CB4AFC" w:rsidRDefault="00370879" w:rsidP="00370879">
      <w:pPr>
        <w:pStyle w:val="NormalWeb"/>
        <w:spacing w:line="360" w:lineRule="auto"/>
        <w:ind w:left="1440" w:hanging="720"/>
        <w:jc w:val="both"/>
      </w:pPr>
      <w:proofErr w:type="spellStart"/>
      <w:r w:rsidRPr="00CB4AFC">
        <w:t>Hatemi</w:t>
      </w:r>
      <w:proofErr w:type="spellEnd"/>
      <w:r w:rsidRPr="00CB4AFC">
        <w:noBreakHyphen/>
        <w:t>J, A., &amp; El</w:t>
      </w:r>
      <w:r w:rsidRPr="00CB4AFC">
        <w:noBreakHyphen/>
      </w:r>
      <w:proofErr w:type="spellStart"/>
      <w:r w:rsidRPr="00CB4AFC">
        <w:t>Khatib</w:t>
      </w:r>
      <w:proofErr w:type="spellEnd"/>
      <w:r w:rsidRPr="00CB4AFC">
        <w:t xml:space="preserve">, Y. (2018). </w:t>
      </w:r>
      <w:r w:rsidRPr="00CB4AFC">
        <w:rPr>
          <w:rStyle w:val="Emphasis"/>
        </w:rPr>
        <w:t>The Dividend Discount Model with multiple growth rates of any order for stock evaluation</w:t>
      </w:r>
      <w:r w:rsidRPr="00CB4AFC">
        <w:t xml:space="preserve">. </w:t>
      </w:r>
      <w:proofErr w:type="spellStart"/>
      <w:proofErr w:type="gramStart"/>
      <w:r w:rsidRPr="00CB4AFC">
        <w:t>arXiv</w:t>
      </w:r>
      <w:proofErr w:type="spellEnd"/>
      <w:proofErr w:type="gramEnd"/>
      <w:r w:rsidRPr="00CB4AFC">
        <w:t xml:space="preserve">. </w:t>
      </w:r>
      <w:hyperlink r:id="rId15" w:tgtFrame="_new" w:history="1">
        <w:r w:rsidRPr="00CB4AFC">
          <w:rPr>
            <w:rStyle w:val="Hyperlink"/>
            <w:color w:val="auto"/>
          </w:rPr>
          <w:t>https://arxiv.org/abs/1802.08987</w:t>
        </w:r>
      </w:hyperlink>
      <w:r w:rsidRPr="00CB4AFC">
        <w:t xml:space="preserve"> </w:t>
      </w:r>
      <w:hyperlink r:id="rId16" w:tgtFrame="_blank" w:history="1">
        <w:proofErr w:type="spellStart"/>
        <w:r w:rsidRPr="00CB4AFC">
          <w:rPr>
            <w:rStyle w:val="max-w-15ch"/>
            <w:u w:val="single"/>
          </w:rPr>
          <w:t>arXiv</w:t>
        </w:r>
        <w:proofErr w:type="spellEnd"/>
      </w:hyperlink>
    </w:p>
    <w:p w:rsidR="00370879" w:rsidRPr="00CB4AFC" w:rsidRDefault="00370879" w:rsidP="00370879">
      <w:pPr>
        <w:pStyle w:val="NormalWeb"/>
        <w:spacing w:line="360" w:lineRule="auto"/>
        <w:ind w:left="1440" w:hanging="720"/>
        <w:jc w:val="both"/>
      </w:pPr>
      <w:proofErr w:type="spellStart"/>
      <w:r w:rsidRPr="00CB4AFC">
        <w:t>Iyer</w:t>
      </w:r>
      <w:proofErr w:type="spellEnd"/>
      <w:r w:rsidRPr="00CB4AFC">
        <w:t xml:space="preserve">, S. V., &amp; Prasad, R. (2025). </w:t>
      </w:r>
      <w:r w:rsidRPr="00CB4AFC">
        <w:rPr>
          <w:rStyle w:val="Emphasis"/>
        </w:rPr>
        <w:t>Exploring a quasi</w:t>
      </w:r>
      <w:r w:rsidRPr="00CB4AFC">
        <w:rPr>
          <w:rStyle w:val="Emphasis"/>
        </w:rPr>
        <w:noBreakHyphen/>
        <w:t>absolute priority rule for pay</w:t>
      </w:r>
      <w:r w:rsidRPr="00CB4AFC">
        <w:rPr>
          <w:rStyle w:val="Emphasis"/>
        </w:rPr>
        <w:noBreakHyphen/>
        <w:t>outs to operational creditors in bankruptcy resolutions: Evidence from India</w:t>
      </w:r>
      <w:r w:rsidRPr="00CB4AFC">
        <w:t xml:space="preserve">. Global Finance Journal, 64, 101074. https://doi.org/10.1016/j.gfj.2024.101074 </w:t>
      </w:r>
      <w:hyperlink r:id="rId17" w:tgtFrame="_blank" w:history="1">
        <w:r w:rsidRPr="00CB4AFC">
          <w:rPr>
            <w:rStyle w:val="max-w-15ch"/>
            <w:u w:val="single"/>
          </w:rPr>
          <w:t>MDI Gurgaon</w:t>
        </w:r>
      </w:hyperlink>
    </w:p>
    <w:p w:rsidR="00370879" w:rsidRPr="00CB4AFC" w:rsidRDefault="00370879" w:rsidP="00370879">
      <w:pPr>
        <w:pStyle w:val="NormalWeb"/>
        <w:spacing w:line="360" w:lineRule="auto"/>
        <w:ind w:left="1440" w:hanging="720"/>
        <w:jc w:val="both"/>
      </w:pPr>
      <w:r w:rsidRPr="00CB4AFC">
        <w:lastRenderedPageBreak/>
        <w:t xml:space="preserve">Ma, L., </w:t>
      </w:r>
      <w:proofErr w:type="spellStart"/>
      <w:r w:rsidRPr="00CB4AFC">
        <w:t>Xie</w:t>
      </w:r>
      <w:proofErr w:type="spellEnd"/>
      <w:r w:rsidRPr="00CB4AFC">
        <w:t xml:space="preserve">, Z., &amp; Zhang, H. (2023). </w:t>
      </w:r>
      <w:r w:rsidRPr="00CB4AFC">
        <w:rPr>
          <w:rStyle w:val="Emphasis"/>
        </w:rPr>
        <w:t>An evaluation of the dividend discount model and its extensions</w:t>
      </w:r>
      <w:r w:rsidRPr="00CB4AFC">
        <w:t>. Advances in Economics, Management and Political Sciences, 4, 165</w:t>
      </w:r>
      <w:r w:rsidRPr="00CB4AFC">
        <w:noBreakHyphen/>
        <w:t>173. https://doi.org/10.54254/2754</w:t>
      </w:r>
      <w:r w:rsidRPr="00CB4AFC">
        <w:noBreakHyphen/>
        <w:t xml:space="preserve">1169/4/20221049 </w:t>
      </w:r>
      <w:hyperlink r:id="rId18" w:tgtFrame="_blank" w:history="1">
        <w:proofErr w:type="spellStart"/>
        <w:r w:rsidRPr="00CB4AFC">
          <w:rPr>
            <w:rStyle w:val="max-w-15ch"/>
            <w:u w:val="single"/>
          </w:rPr>
          <w:t>Ewa</w:t>
        </w:r>
        <w:proofErr w:type="spellEnd"/>
        <w:r w:rsidRPr="00CB4AFC">
          <w:rPr>
            <w:rStyle w:val="max-w-15ch"/>
            <w:u w:val="single"/>
          </w:rPr>
          <w:t xml:space="preserve"> Direct</w:t>
        </w:r>
      </w:hyperlink>
    </w:p>
    <w:p w:rsidR="00370879" w:rsidRDefault="00370879" w:rsidP="00370879">
      <w:pPr>
        <w:pStyle w:val="NormalWeb"/>
        <w:spacing w:line="360" w:lineRule="auto"/>
        <w:ind w:left="1440" w:hanging="720"/>
        <w:jc w:val="both"/>
      </w:pPr>
      <w:r w:rsidRPr="00CB4AFC">
        <w:t>Tang, Q. (</w:t>
      </w:r>
      <w:proofErr w:type="spellStart"/>
      <w:r w:rsidRPr="00CB4AFC">
        <w:t>n.d.</w:t>
      </w:r>
      <w:proofErr w:type="spellEnd"/>
      <w:r w:rsidRPr="00CB4AFC">
        <w:t xml:space="preserve">). </w:t>
      </w:r>
      <w:r w:rsidRPr="00CB4AFC">
        <w:rPr>
          <w:rStyle w:val="Emphasis"/>
        </w:rPr>
        <w:t xml:space="preserve">Comparison of the Dividend Discount Model and the Discounted Cash Flow Model Valuation of Stock Kweichow </w:t>
      </w:r>
      <w:proofErr w:type="spellStart"/>
      <w:r w:rsidRPr="00CB4AFC">
        <w:rPr>
          <w:rStyle w:val="Emphasis"/>
        </w:rPr>
        <w:t>Moutai</w:t>
      </w:r>
      <w:proofErr w:type="spellEnd"/>
      <w:r w:rsidRPr="00CB4AFC">
        <w:t xml:space="preserve">. Highlights in Business, Economics and Management. </w:t>
      </w:r>
      <w:hyperlink r:id="rId19" w:history="1">
        <w:r w:rsidRPr="00866094">
          <w:rPr>
            <w:rStyle w:val="Hyperlink"/>
          </w:rPr>
          <w:t>https://doi.org/10.54097/rxyseb84</w:t>
        </w:r>
      </w:hyperlink>
    </w:p>
    <w:p w:rsidR="00370879" w:rsidRPr="00CB4AFC" w:rsidRDefault="00370879" w:rsidP="00370879">
      <w:pPr>
        <w:pStyle w:val="NormalWeb"/>
        <w:spacing w:line="360" w:lineRule="auto"/>
        <w:ind w:left="1440" w:hanging="720"/>
        <w:jc w:val="both"/>
      </w:pPr>
      <w:r w:rsidRPr="00CB4AFC">
        <w:t xml:space="preserve">Zhang, E. C. (2025). </w:t>
      </w:r>
      <w:r w:rsidRPr="00CB4AFC">
        <w:rPr>
          <w:rStyle w:val="Emphasis"/>
        </w:rPr>
        <w:t>Business valuation limitation: Dividend Discount Model and Free Cash Flow model</w:t>
      </w:r>
      <w:r w:rsidRPr="00CB4AFC">
        <w:t xml:space="preserve">. In Proceedings of the International Workshop on Navigating the Digital Business Frontier for Sustainable Financial Innovation (ICDEBA 2024) (pp. 436–443). Atlantis Press. https://doi.org/10.2991/978-94-6463-652-9_46 </w:t>
      </w:r>
      <w:hyperlink r:id="rId20" w:tgtFrame="_blank" w:history="1">
        <w:r w:rsidRPr="00CB4AFC">
          <w:rPr>
            <w:rStyle w:val="max-w-15ch"/>
            <w:u w:val="single"/>
          </w:rPr>
          <w:t>Atlantis Press</w:t>
        </w:r>
      </w:hyperlink>
    </w:p>
    <w:sectPr w:rsidR="00370879" w:rsidRPr="00CB4A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BD1CD3"/>
    <w:multiLevelType w:val="hybridMultilevel"/>
    <w:tmpl w:val="17C2E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CA2ED6"/>
    <w:multiLevelType w:val="hybridMultilevel"/>
    <w:tmpl w:val="1D629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E4230F"/>
    <w:multiLevelType w:val="hybridMultilevel"/>
    <w:tmpl w:val="10226AA2"/>
    <w:lvl w:ilvl="0" w:tplc="6ABE84A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146A63"/>
    <w:multiLevelType w:val="hybridMultilevel"/>
    <w:tmpl w:val="6B2C0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CBF4303"/>
    <w:multiLevelType w:val="hybridMultilevel"/>
    <w:tmpl w:val="F112E3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3640E13"/>
    <w:multiLevelType w:val="hybridMultilevel"/>
    <w:tmpl w:val="43D0D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0F3"/>
    <w:rsid w:val="00103A08"/>
    <w:rsid w:val="00190C1C"/>
    <w:rsid w:val="00237E60"/>
    <w:rsid w:val="002B21B4"/>
    <w:rsid w:val="00370879"/>
    <w:rsid w:val="0039226F"/>
    <w:rsid w:val="003E36D8"/>
    <w:rsid w:val="003E6D8F"/>
    <w:rsid w:val="004B528B"/>
    <w:rsid w:val="005D2434"/>
    <w:rsid w:val="00654E81"/>
    <w:rsid w:val="00765F73"/>
    <w:rsid w:val="009040F3"/>
    <w:rsid w:val="00987EAD"/>
    <w:rsid w:val="0099756E"/>
    <w:rsid w:val="009F319E"/>
    <w:rsid w:val="00BC0E9A"/>
    <w:rsid w:val="00C336DA"/>
    <w:rsid w:val="00C53778"/>
    <w:rsid w:val="00CB4AFC"/>
    <w:rsid w:val="00D969EC"/>
    <w:rsid w:val="00DB5D8B"/>
    <w:rsid w:val="00DE7E18"/>
    <w:rsid w:val="00E2425B"/>
    <w:rsid w:val="00E66B8C"/>
    <w:rsid w:val="00E75E5B"/>
    <w:rsid w:val="00EA6B74"/>
    <w:rsid w:val="00EF25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18E915-B444-40AF-BEE9-EAE76CD83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40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40F3"/>
    <w:rPr>
      <w:rFonts w:ascii="Tahoma" w:hAnsi="Tahoma" w:cs="Tahoma"/>
      <w:sz w:val="16"/>
      <w:szCs w:val="16"/>
    </w:rPr>
  </w:style>
  <w:style w:type="paragraph" w:styleId="ListParagraph">
    <w:name w:val="List Paragraph"/>
    <w:basedOn w:val="Normal"/>
    <w:uiPriority w:val="34"/>
    <w:qFormat/>
    <w:rsid w:val="009040F3"/>
    <w:pPr>
      <w:ind w:left="720"/>
      <w:contextualSpacing/>
    </w:pPr>
  </w:style>
  <w:style w:type="paragraph" w:styleId="NormalWeb">
    <w:name w:val="Normal (Web)"/>
    <w:basedOn w:val="Normal"/>
    <w:uiPriority w:val="99"/>
    <w:semiHidden/>
    <w:unhideWhenUsed/>
    <w:rsid w:val="00CB4AF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B4AFC"/>
    <w:rPr>
      <w:i/>
      <w:iCs/>
    </w:rPr>
  </w:style>
  <w:style w:type="character" w:customStyle="1" w:styleId="ms-1">
    <w:name w:val="ms-1"/>
    <w:basedOn w:val="DefaultParagraphFont"/>
    <w:rsid w:val="00CB4AFC"/>
  </w:style>
  <w:style w:type="character" w:styleId="Hyperlink">
    <w:name w:val="Hyperlink"/>
    <w:basedOn w:val="DefaultParagraphFont"/>
    <w:uiPriority w:val="99"/>
    <w:unhideWhenUsed/>
    <w:rsid w:val="00CB4AFC"/>
    <w:rPr>
      <w:color w:val="0000FF"/>
      <w:u w:val="single"/>
    </w:rPr>
  </w:style>
  <w:style w:type="character" w:customStyle="1" w:styleId="max-w-15ch">
    <w:name w:val="max-w-[15ch]"/>
    <w:basedOn w:val="DefaultParagraphFont"/>
    <w:rsid w:val="00CB4A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9935685">
      <w:bodyDiv w:val="1"/>
      <w:marLeft w:val="0"/>
      <w:marRight w:val="0"/>
      <w:marTop w:val="0"/>
      <w:marBottom w:val="0"/>
      <w:divBdr>
        <w:top w:val="none" w:sz="0" w:space="0" w:color="auto"/>
        <w:left w:val="none" w:sz="0" w:space="0" w:color="auto"/>
        <w:bottom w:val="none" w:sz="0" w:space="0" w:color="auto"/>
        <w:right w:val="none" w:sz="0" w:space="0" w:color="auto"/>
      </w:divBdr>
    </w:div>
    <w:div w:id="836530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deas.repec.org/p/arx/papers/2001.00465.html?utm_source=chatgpt.com" TargetMode="External"/><Relationship Id="rId13" Type="http://schemas.openxmlformats.org/officeDocument/2006/relationships/hyperlink" Target="https://scholarship.law.wm.edu/wmblr/vol8/iss3/3?utm_source=chatgpt.com" TargetMode="External"/><Relationship Id="rId18" Type="http://schemas.openxmlformats.org/officeDocument/2006/relationships/hyperlink" Target="https://www.ewadirect.com/proceedings/aemps/article/view/627?utm_source=chatgpt.co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wilmerhale.com/en/insights/publications/2017-08-22-the-absolute-priority-rule-and-other-rules-of-priority-in-bankruptcy?utm_source=chatgpt.com" TargetMode="External"/><Relationship Id="rId12" Type="http://schemas.openxmlformats.org/officeDocument/2006/relationships/hyperlink" Target="https://link.springer.com/article/10.1007/s00355-019-01219-0?utm_source=chatgpt.com" TargetMode="External"/><Relationship Id="rId17" Type="http://schemas.openxmlformats.org/officeDocument/2006/relationships/hyperlink" Target="https://mdi.ac.in/research/exploring-a-quasi-absolute-priority-rule-for-pay-outs-to-operational-creditors-in-bankruptcy-resolutions-evidence-from-india?utm_source=chatgpt.com" TargetMode="External"/><Relationship Id="rId2" Type="http://schemas.openxmlformats.org/officeDocument/2006/relationships/styles" Target="styles.xml"/><Relationship Id="rId16" Type="http://schemas.openxmlformats.org/officeDocument/2006/relationships/hyperlink" Target="https://arxiv.org/abs/1802.08987?utm_source=chatgpt.com" TargetMode="External"/><Relationship Id="rId20" Type="http://schemas.openxmlformats.org/officeDocument/2006/relationships/hyperlink" Target="https://www.atlantis-press.com/proceedings/icdeba-24/126008557?utm_source=chatgpt.com"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ideas.repec.org/a/fma/fmanag/eberhart98.html?utm_source=chatgpt.com" TargetMode="External"/><Relationship Id="rId5" Type="http://schemas.openxmlformats.org/officeDocument/2006/relationships/image" Target="media/image1.png"/><Relationship Id="rId15" Type="http://schemas.openxmlformats.org/officeDocument/2006/relationships/hyperlink" Target="https://arxiv.org/abs/1802.08987?utm_source=chatgpt.com" TargetMode="External"/><Relationship Id="rId10" Type="http://schemas.openxmlformats.org/officeDocument/2006/relationships/hyperlink" Target="https://ideas.repec.org/a/fma/fmanag/eberhart98.html?utm_source=chatgpt.com" TargetMode="External"/><Relationship Id="rId19" Type="http://schemas.openxmlformats.org/officeDocument/2006/relationships/hyperlink" Target="https://doi.org/10.54097/rxyseb84" TargetMode="External"/><Relationship Id="rId4" Type="http://schemas.openxmlformats.org/officeDocument/2006/relationships/webSettings" Target="webSettings.xml"/><Relationship Id="rId9" Type="http://schemas.openxmlformats.org/officeDocument/2006/relationships/hyperlink" Target="https://ideas.repec.org/p/arx/papers/2001.00465.html?utm_source=chatgpt.com" TargetMode="External"/><Relationship Id="rId14" Type="http://schemas.openxmlformats.org/officeDocument/2006/relationships/hyperlink" Target="https://scholarship.law.wm.edu/wmblr/vol8/iss3/3/?utm_source=chatgpt.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1423</TotalTime>
  <Pages>9</Pages>
  <Words>2086</Words>
  <Characters>11891</Characters>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2025-10-06T05:25:00Z</dcterms:created>
  <dcterms:modified xsi:type="dcterms:W3CDTF">2025-10-07T18:31:00Z</dcterms:modified>
</cp:coreProperties>
</file>