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AC685" w14:textId="77777777" w:rsidR="00017980" w:rsidRPr="00017980" w:rsidRDefault="00703218" w:rsidP="00017980">
      <w:pPr>
        <w:jc w:val="center"/>
        <w:rPr>
          <w:rFonts w:ascii="Times New Roman" w:eastAsia="Times New Roman" w:hAnsi="Times New Roman" w:cs="Times New Roman"/>
          <w:color w:val="202122"/>
          <w:sz w:val="60"/>
          <w:szCs w:val="60"/>
        </w:rPr>
      </w:pPr>
      <w:bookmarkStart w:id="0" w:name="_amz04z60737h" w:colFirst="0" w:colLast="0"/>
      <w:bookmarkEnd w:id="0"/>
      <w:r w:rsidRPr="00017980">
        <w:rPr>
          <w:rFonts w:ascii="Times New Roman" w:eastAsia="Times New Roman" w:hAnsi="Times New Roman" w:cs="Times New Roman"/>
          <w:color w:val="202122"/>
          <w:sz w:val="60"/>
          <w:szCs w:val="60"/>
        </w:rPr>
        <w:t>D</w:t>
      </w:r>
      <w:r w:rsidR="00017980" w:rsidRPr="00017980">
        <w:rPr>
          <w:rFonts w:ascii="Times New Roman" w:eastAsia="Times New Roman" w:hAnsi="Times New Roman" w:cs="Times New Roman"/>
          <w:color w:val="202122"/>
          <w:sz w:val="60"/>
          <w:szCs w:val="60"/>
        </w:rPr>
        <w:t>iscussion</w:t>
      </w:r>
    </w:p>
    <w:p w14:paraId="00000001" w14:textId="4CAE8E4B" w:rsidR="004B51B3" w:rsidRPr="00017980" w:rsidRDefault="00703218" w:rsidP="00017980">
      <w:pPr>
        <w:jc w:val="center"/>
      </w:pPr>
      <w:r>
        <w:rPr>
          <w:rFonts w:ascii="Times New Roman" w:eastAsia="Times New Roman" w:hAnsi="Times New Roman" w:cs="Times New Roman"/>
          <w:color w:val="202122"/>
          <w:sz w:val="60"/>
          <w:szCs w:val="60"/>
        </w:rPr>
        <w:t>Tesla Motors</w:t>
      </w:r>
    </w:p>
    <w:p w14:paraId="00000002" w14:textId="77777777" w:rsidR="004B51B3" w:rsidRDefault="004B51B3">
      <w:pPr>
        <w:rPr>
          <w:rFonts w:ascii="Times New Roman" w:eastAsia="Times New Roman" w:hAnsi="Times New Roman" w:cs="Times New Roman"/>
        </w:rPr>
      </w:pPr>
    </w:p>
    <w:p w14:paraId="00000003" w14:textId="632725C2" w:rsidR="004B51B3" w:rsidRDefault="00703218" w:rsidP="00017980">
      <w:pPr>
        <w:spacing w:line="360" w:lineRule="auto"/>
        <w:contextualSpacing/>
        <w:jc w:val="both"/>
        <w:rPr>
          <w:rFonts w:ascii="Times New Roman" w:eastAsia="Times New Roman" w:hAnsi="Times New Roman" w:cs="Times New Roman"/>
        </w:rPr>
      </w:pPr>
      <w:r>
        <w:rPr>
          <w:rFonts w:ascii="Times New Roman" w:eastAsia="Times New Roman" w:hAnsi="Times New Roman" w:cs="Times New Roman"/>
        </w:rPr>
        <w:t>Tesla Motors has already become a fashionable company as well as a debatable investment in the stock markets. With a subsidiary, SolarCity, which focuses on renewable energy, Tesla has a higher market value than many proven automakers, thanks to its electr</w:t>
      </w:r>
      <w:r>
        <w:rPr>
          <w:rFonts w:ascii="Times New Roman" w:eastAsia="Times New Roman" w:hAnsi="Times New Roman" w:cs="Times New Roman"/>
        </w:rPr>
        <w:t xml:space="preserve">ic vehicles. However, its low scale of production and intermittent profitability undermine the conventional financial models. </w:t>
      </w:r>
      <w:r w:rsidR="00126AAC" w:rsidRPr="00126AAC">
        <w:rPr>
          <w:rFonts w:ascii="Times New Roman" w:eastAsia="Times New Roman" w:hAnsi="Times New Roman" w:cs="Times New Roman"/>
        </w:rPr>
        <w:t>The Dividend Discount Model (DDM), or the model that calculates the value of shares based on future dividends, does not apply to Tesla as the company does not pay dividends, but instead reinvests the earning</w:t>
      </w:r>
      <w:r w:rsidR="004F21DF">
        <w:rPr>
          <w:rFonts w:ascii="Times New Roman" w:eastAsia="Times New Roman" w:hAnsi="Times New Roman" w:cs="Times New Roman"/>
        </w:rPr>
        <w:t>s (</w:t>
      </w:r>
      <w:proofErr w:type="spellStart"/>
      <w:r w:rsidR="004F21DF">
        <w:rPr>
          <w:rFonts w:ascii="Times New Roman" w:eastAsia="Times New Roman" w:hAnsi="Times New Roman" w:cs="Times New Roman"/>
        </w:rPr>
        <w:t>Dahlquist</w:t>
      </w:r>
      <w:proofErr w:type="spellEnd"/>
      <w:r w:rsidR="004F21DF">
        <w:rPr>
          <w:rFonts w:ascii="Times New Roman" w:eastAsia="Times New Roman" w:hAnsi="Times New Roman" w:cs="Times New Roman"/>
        </w:rPr>
        <w:t xml:space="preserve"> and Knight, 2022).</w:t>
      </w:r>
    </w:p>
    <w:p w14:paraId="00000005" w14:textId="77777777" w:rsidR="004B51B3" w:rsidRDefault="00703218" w:rsidP="00017980">
      <w:pPr>
        <w:spacing w:line="360" w:lineRule="auto"/>
        <w:contextualSpacing/>
        <w:jc w:val="both"/>
        <w:rPr>
          <w:rFonts w:ascii="Times New Roman" w:eastAsia="Times New Roman" w:hAnsi="Times New Roman" w:cs="Times New Roman"/>
        </w:rPr>
      </w:pPr>
      <w:r>
        <w:rPr>
          <w:rFonts w:ascii="Times New Roman" w:eastAsia="Times New Roman" w:hAnsi="Times New Roman" w:cs="Times New Roman"/>
        </w:rPr>
        <w:t>Conventional valuation instruments like bond valuation or discount cash flow models are based on forecasted income. These models fail when used i</w:t>
      </w:r>
      <w:r>
        <w:rPr>
          <w:rFonts w:ascii="Times New Roman" w:eastAsia="Times New Roman" w:hAnsi="Times New Roman" w:cs="Times New Roman"/>
        </w:rPr>
        <w:t>n firms such as Tesla, where cash flows are unknown and growth estimates are hard to ascertain. According to Fabozzi and Peterson Drake (2009), accurate valuation requires the presence of credible forecasts, and high-growth firms frequently do not have cre</w:t>
      </w:r>
      <w:r>
        <w:rPr>
          <w:rFonts w:ascii="Times New Roman" w:eastAsia="Times New Roman" w:hAnsi="Times New Roman" w:cs="Times New Roman"/>
        </w:rPr>
        <w:t>dible forecasts. This is why Tesla's stock price appears to be pegged on future dominance rather than the current fundamentals of the company.</w:t>
      </w:r>
    </w:p>
    <w:p w14:paraId="00000007" w14:textId="77777777" w:rsidR="004B51B3" w:rsidRDefault="00703218" w:rsidP="00017980">
      <w:pPr>
        <w:spacing w:line="36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Meanwhile, Tesla's valuation is a measure of innovative reward in the market. Investors tend to attach a lot of </w:t>
      </w:r>
      <w:r>
        <w:rPr>
          <w:rFonts w:ascii="Times New Roman" w:eastAsia="Times New Roman" w:hAnsi="Times New Roman" w:cs="Times New Roman"/>
        </w:rPr>
        <w:t>value to companies that they perceive to dominate in the next decades, and in the case of Tesla, this confidence is pegged on renewable energy and electric cars. According to Fabozzi (2013), long-term prospects are often included in the calculation of asse</w:t>
      </w:r>
      <w:r>
        <w:rPr>
          <w:rFonts w:ascii="Times New Roman" w:eastAsia="Times New Roman" w:hAnsi="Times New Roman" w:cs="Times New Roman"/>
        </w:rPr>
        <w:t>t values. Nevertheless, there is a risk associated with such optimism because the expectations are not always that. The risk-return trade-off means that Tesla shareholders are taking the chance of making substantial gains and considerable risk (Dahlquist a</w:t>
      </w:r>
      <w:r>
        <w:rPr>
          <w:rFonts w:ascii="Times New Roman" w:eastAsia="Times New Roman" w:hAnsi="Times New Roman" w:cs="Times New Roman"/>
        </w:rPr>
        <w:t>nd Knight, 2022).</w:t>
      </w:r>
    </w:p>
    <w:p w14:paraId="00000009" w14:textId="77777777" w:rsidR="004B51B3" w:rsidRDefault="00703218" w:rsidP="00017980">
      <w:pPr>
        <w:spacing w:line="360" w:lineRule="auto"/>
        <w:contextualSpacing/>
        <w:jc w:val="both"/>
        <w:rPr>
          <w:rFonts w:ascii="Times New Roman" w:eastAsia="Times New Roman" w:hAnsi="Times New Roman" w:cs="Times New Roman"/>
        </w:rPr>
      </w:pPr>
      <w:r>
        <w:rPr>
          <w:rFonts w:ascii="Times New Roman" w:eastAsia="Times New Roman" w:hAnsi="Times New Roman" w:cs="Times New Roman"/>
        </w:rPr>
        <w:t>Overall, Tesla demonstrates that the conventional valuation models are not fully applicable to disruptive firms. Although its share value demonstrates its future potential, investors should not overlook the risk of overvaluation.</w:t>
      </w:r>
    </w:p>
    <w:p w14:paraId="0000000A" w14:textId="77777777" w:rsidR="004B51B3" w:rsidRDefault="004B51B3" w:rsidP="00017980">
      <w:pPr>
        <w:spacing w:line="360" w:lineRule="auto"/>
        <w:contextualSpacing/>
        <w:jc w:val="both"/>
        <w:rPr>
          <w:rFonts w:ascii="Times New Roman" w:eastAsia="Times New Roman" w:hAnsi="Times New Roman" w:cs="Times New Roman"/>
        </w:rPr>
      </w:pPr>
    </w:p>
    <w:p w14:paraId="0000000B" w14:textId="77777777" w:rsidR="004B51B3" w:rsidRDefault="004B51B3" w:rsidP="00017980">
      <w:pPr>
        <w:spacing w:line="360" w:lineRule="auto"/>
        <w:contextualSpacing/>
        <w:jc w:val="both"/>
        <w:rPr>
          <w:rFonts w:ascii="Times New Roman" w:eastAsia="Times New Roman" w:hAnsi="Times New Roman" w:cs="Times New Roman"/>
        </w:rPr>
        <w:sectPr w:rsidR="004B51B3">
          <w:pgSz w:w="12240" w:h="15840"/>
          <w:pgMar w:top="1440" w:right="1440" w:bottom="1440" w:left="1440" w:header="720" w:footer="720" w:gutter="0"/>
          <w:pgNumType w:start="1"/>
          <w:cols w:space="720"/>
        </w:sectPr>
      </w:pPr>
    </w:p>
    <w:p w14:paraId="0000000C" w14:textId="547B5A9D" w:rsidR="004B51B3" w:rsidRPr="005E54A0" w:rsidRDefault="005E54A0" w:rsidP="005E54A0">
      <w:pPr>
        <w:jc w:val="center"/>
        <w:rPr>
          <w:b/>
        </w:rPr>
      </w:pPr>
      <w:bookmarkStart w:id="1" w:name="_nvuudyfxqeu8" w:colFirst="0" w:colLast="0"/>
      <w:bookmarkEnd w:id="1"/>
      <w:r>
        <w:rPr>
          <w:b/>
        </w:rPr>
        <w:lastRenderedPageBreak/>
        <w:t>R</w:t>
      </w:r>
      <w:r w:rsidR="00703218" w:rsidRPr="005E54A0">
        <w:rPr>
          <w:b/>
        </w:rPr>
        <w:t>eference</w:t>
      </w:r>
    </w:p>
    <w:p w14:paraId="0A06EDB4" w14:textId="77777777" w:rsidR="00703218" w:rsidRDefault="00703218" w:rsidP="00F40AB9">
      <w:pPr>
        <w:spacing w:before="240" w:after="240" w:line="480" w:lineRule="auto"/>
        <w:ind w:left="720" w:hanging="720"/>
        <w:jc w:val="both"/>
        <w:rPr>
          <w:rFonts w:ascii="Times New Roman" w:eastAsia="Times New Roman" w:hAnsi="Times New Roman" w:cs="Times New Roman"/>
          <w:color w:val="1155CC"/>
          <w:u w:val="single"/>
        </w:rPr>
      </w:pPr>
      <w:proofErr w:type="spellStart"/>
      <w:r>
        <w:rPr>
          <w:rFonts w:ascii="Times New Roman" w:eastAsia="Times New Roman" w:hAnsi="Times New Roman" w:cs="Times New Roman"/>
        </w:rPr>
        <w:t>Dahlquist</w:t>
      </w:r>
      <w:proofErr w:type="spellEnd"/>
      <w:r>
        <w:rPr>
          <w:rFonts w:ascii="Times New Roman" w:eastAsia="Times New Roman" w:hAnsi="Times New Roman" w:cs="Times New Roman"/>
        </w:rPr>
        <w:t xml:space="preserve">, J., &amp; Knight, R. (2022). </w:t>
      </w:r>
      <w:r>
        <w:rPr>
          <w:rFonts w:ascii="Times New Roman" w:eastAsia="Times New Roman" w:hAnsi="Times New Roman" w:cs="Times New Roman"/>
          <w:i/>
        </w:rPr>
        <w:t>Principles of finance</w:t>
      </w:r>
      <w:r>
        <w:rPr>
          <w:rFonts w:ascii="Times New Roman" w:eastAsia="Times New Roman" w:hAnsi="Times New Roman" w:cs="Times New Roman"/>
        </w:rPr>
        <w:t>. OpenStax.</w:t>
      </w:r>
      <w:hyperlink r:id="rId4">
        <w:r>
          <w:rPr>
            <w:rFonts w:ascii="Times New Roman" w:eastAsia="Times New Roman" w:hAnsi="Times New Roman" w:cs="Times New Roman"/>
          </w:rPr>
          <w:t xml:space="preserve"> </w:t>
        </w:r>
      </w:hyperlink>
      <w:hyperlink r:id="rId5">
        <w:r>
          <w:rPr>
            <w:rFonts w:ascii="Times New Roman" w:eastAsia="Times New Roman" w:hAnsi="Times New Roman" w:cs="Times New Roman"/>
            <w:color w:val="1155CC"/>
            <w:u w:val="single"/>
          </w:rPr>
          <w:t>https://openstax.org/books/principles-finance/pages/1-why-it-matters</w:t>
        </w:r>
      </w:hyperlink>
    </w:p>
    <w:p w14:paraId="46D9D59A" w14:textId="77777777" w:rsidR="00703218" w:rsidRDefault="00703218" w:rsidP="00F40AB9">
      <w:pPr>
        <w:spacing w:before="240" w:after="240" w:line="48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Fabozzi, F. J. (2013). </w:t>
      </w:r>
      <w:r>
        <w:rPr>
          <w:rFonts w:ascii="Times New Roman" w:eastAsia="Times New Roman" w:hAnsi="Times New Roman" w:cs="Times New Roman"/>
          <w:i/>
        </w:rPr>
        <w:t>Encyclopedia of financial models: Bond valuation</w:t>
      </w:r>
      <w:r>
        <w:rPr>
          <w:rFonts w:ascii="Times New Roman" w:eastAsia="Times New Roman" w:hAnsi="Times New Roman" w:cs="Times New Roman"/>
        </w:rPr>
        <w:t>. John Wiley &amp; Sons.</w:t>
      </w:r>
    </w:p>
    <w:p w14:paraId="2DE44C2A" w14:textId="77777777" w:rsidR="00703218" w:rsidRDefault="00703218" w:rsidP="00F40AB9">
      <w:pPr>
        <w:spacing w:before="240" w:after="240" w:line="48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Fabozzi, F. J., &amp; Peterson Drake, P. (2009). </w:t>
      </w:r>
      <w:r>
        <w:rPr>
          <w:rFonts w:ascii="Times New Roman" w:eastAsia="Times New Roman" w:hAnsi="Times New Roman" w:cs="Times New Roman"/>
          <w:i/>
        </w:rPr>
        <w:t>Finance: Capital markets, financial management, and investment management</w:t>
      </w:r>
      <w:r>
        <w:rPr>
          <w:rFonts w:ascii="Times New Roman" w:eastAsia="Times New Roman" w:hAnsi="Times New Roman" w:cs="Times New Roman"/>
        </w:rPr>
        <w:t>. Wiley.</w:t>
      </w:r>
    </w:p>
    <w:p w14:paraId="00000010" w14:textId="77777777" w:rsidR="004B51B3" w:rsidRDefault="004B51B3">
      <w:bookmarkStart w:id="2" w:name="_GoBack"/>
      <w:bookmarkEnd w:id="2"/>
    </w:p>
    <w:sectPr w:rsidR="004B51B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B3"/>
    <w:rsid w:val="00017980"/>
    <w:rsid w:val="00126AAC"/>
    <w:rsid w:val="002D0F66"/>
    <w:rsid w:val="004B51B3"/>
    <w:rsid w:val="004F21DF"/>
    <w:rsid w:val="005E54A0"/>
    <w:rsid w:val="00703218"/>
    <w:rsid w:val="00F40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4450"/>
  <w15:docId w15:val="{E9A82B0D-B957-43C5-8B93-F77182FC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penstax.org/books/principles-finance/pages/1-why-it-matters" TargetMode="External"/><Relationship Id="rId4" Type="http://schemas.openxmlformats.org/officeDocument/2006/relationships/hyperlink" Target="https://openstax.org/books/principles-finance/pages/1-why-it-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389</Words>
  <Characters>2219</Characters>
  <DocSecurity>0</DocSecurity>
  <Lines>18</Lines>
  <Paragraphs>5</Paragraphs>
  <ScaleCrop>false</ScaleCrop>
  <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2025-10-02T10:58:00Z</dcterms:created>
  <dcterms:modified xsi:type="dcterms:W3CDTF">2025-10-07T18:45:00Z</dcterms:modified>
</cp:coreProperties>
</file>